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EBED41"/>
    <w:p w14:paraId="34166968">
      <w:pPr>
        <w:jc w:val="center"/>
        <w:rPr>
          <w:rFonts w:eastAsia="黑体"/>
          <w:b/>
          <w:sz w:val="32"/>
        </w:rPr>
      </w:pPr>
      <w:r>
        <w:rPr>
          <w:rFonts w:hint="eastAsia" w:eastAsia="黑体"/>
          <w:b/>
          <w:sz w:val="32"/>
        </w:rPr>
        <w:t>岗位说明书</w:t>
      </w:r>
    </w:p>
    <w:tbl>
      <w:tblPr>
        <w:tblStyle w:val="5"/>
        <w:tblW w:w="50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78"/>
        <w:gridCol w:w="530"/>
        <w:gridCol w:w="2644"/>
        <w:gridCol w:w="1039"/>
        <w:gridCol w:w="1224"/>
        <w:gridCol w:w="822"/>
        <w:gridCol w:w="974"/>
        <w:gridCol w:w="2778"/>
      </w:tblGrid>
      <w:tr w14:paraId="72CA3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0" w:type="pct"/>
            <w:gridSpan w:val="8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9C2AEE">
            <w:pPr>
              <w:adjustRightInd w:val="0"/>
              <w:snapToGrid w:val="0"/>
              <w:ind w:left="2" w:leftChars="-10" w:hanging="23" w:hangingChars="11"/>
              <w:jc w:val="left"/>
              <w:rPr>
                <w:rFonts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一、岗位基本信息</w:t>
            </w:r>
          </w:p>
        </w:tc>
      </w:tr>
      <w:tr w14:paraId="30AD6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686" w:type="pct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 w14:paraId="0401B2FE">
            <w:pPr>
              <w:jc w:val="center"/>
              <w:rPr>
                <w:rFonts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岗位名称</w:t>
            </w:r>
          </w:p>
        </w:tc>
        <w:tc>
          <w:tcPr>
            <w:tcW w:w="1675" w:type="pct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306D02">
            <w:pPr>
              <w:adjustRightInd w:val="0"/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网络与计算机桌面运维工程师</w:t>
            </w:r>
          </w:p>
        </w:tc>
        <w:tc>
          <w:tcPr>
            <w:tcW w:w="9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9ED3B5"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bCs/>
                <w:szCs w:val="20"/>
              </w:rPr>
            </w:pPr>
            <w:r>
              <w:rPr>
                <w:rFonts w:hint="eastAsia" w:ascii="黑体" w:hAnsi="黑体" w:eastAsia="黑体"/>
                <w:b/>
                <w:bCs/>
                <w:szCs w:val="20"/>
              </w:rPr>
              <w:t>岗位编号</w:t>
            </w:r>
          </w:p>
        </w:tc>
        <w:tc>
          <w:tcPr>
            <w:tcW w:w="170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4E627C9C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sz w:val="20"/>
              </w:rPr>
            </w:pPr>
          </w:p>
        </w:tc>
      </w:tr>
      <w:tr w14:paraId="7DC9D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686" w:type="pct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A4B429"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所在部门/所</w:t>
            </w:r>
          </w:p>
        </w:tc>
        <w:tc>
          <w:tcPr>
            <w:tcW w:w="167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B71356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安全运营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管理</w:t>
            </w:r>
            <w:r>
              <w:rPr>
                <w:rFonts w:ascii="黑体" w:hAnsi="黑体" w:eastAsia="黑体"/>
                <w:sz w:val="20"/>
                <w:szCs w:val="20"/>
              </w:rPr>
              <w:t>部</w:t>
            </w:r>
          </w:p>
        </w:tc>
        <w:tc>
          <w:tcPr>
            <w:tcW w:w="9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8065AF"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bCs/>
                <w:szCs w:val="20"/>
              </w:rPr>
            </w:pPr>
            <w:r>
              <w:rPr>
                <w:rFonts w:hint="eastAsia" w:ascii="黑体" w:hAnsi="黑体" w:eastAsia="黑体"/>
                <w:b/>
                <w:bCs/>
                <w:szCs w:val="20"/>
              </w:rPr>
              <w:t>岗位编制</w:t>
            </w:r>
          </w:p>
        </w:tc>
        <w:tc>
          <w:tcPr>
            <w:tcW w:w="170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2B606676">
            <w:pPr>
              <w:adjustRightInd w:val="0"/>
              <w:snapToGrid w:val="0"/>
              <w:jc w:val="center"/>
              <w:rPr>
                <w:rFonts w:ascii="黑体" w:hAnsi="黑体" w:eastAsia="黑体"/>
              </w:rPr>
            </w:pPr>
          </w:p>
        </w:tc>
      </w:tr>
      <w:tr w14:paraId="509C2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686" w:type="pct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CF92D0"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直接上级</w:t>
            </w:r>
          </w:p>
        </w:tc>
        <w:tc>
          <w:tcPr>
            <w:tcW w:w="167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7E55AA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安全运营管理部经理</w:t>
            </w:r>
          </w:p>
        </w:tc>
        <w:tc>
          <w:tcPr>
            <w:tcW w:w="9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B68885"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bCs/>
                <w:szCs w:val="20"/>
              </w:rPr>
            </w:pPr>
            <w:r>
              <w:rPr>
                <w:rFonts w:hint="eastAsia" w:ascii="黑体" w:hAnsi="黑体" w:eastAsia="黑体"/>
                <w:b/>
                <w:bCs/>
                <w:szCs w:val="20"/>
              </w:rPr>
              <w:t>职级</w:t>
            </w:r>
          </w:p>
        </w:tc>
        <w:tc>
          <w:tcPr>
            <w:tcW w:w="170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3ABA019F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sz w:val="20"/>
              </w:rPr>
            </w:pPr>
          </w:p>
        </w:tc>
      </w:tr>
      <w:tr w14:paraId="3DDE5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721EB275">
            <w:pPr>
              <w:adjustRightInd w:val="0"/>
              <w:snapToGrid w:val="0"/>
              <w:rPr>
                <w:rFonts w:ascii="宋体" w:hAnsi="宋体"/>
              </w:rPr>
            </w:pPr>
            <w:r>
              <w:rPr>
                <w:rFonts w:hint="eastAsia" w:ascii="黑体" w:hAnsi="宋体" w:eastAsia="黑体"/>
                <w:b/>
                <w:bCs/>
              </w:rPr>
              <w:t>二、岗位概要</w:t>
            </w:r>
          </w:p>
        </w:tc>
      </w:tr>
      <w:tr w14:paraId="3D9F6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95" w:hRule="atLeast"/>
          <w:jc w:val="center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585E5387">
            <w:pPr>
              <w:adjustRightInd w:val="0"/>
              <w:snapToGrid w:val="0"/>
              <w:ind w:left="1" w:leftChars="-10" w:hanging="22" w:hangingChars="11"/>
              <w:jc w:val="left"/>
              <w:rPr>
                <w:rFonts w:ascii="黑体" w:hAnsi="黑体" w:eastAsia="黑体"/>
                <w:sz w:val="20"/>
                <w:szCs w:val="21"/>
              </w:rPr>
            </w:pPr>
            <w:r>
              <w:rPr>
                <w:rFonts w:hint="eastAsia" w:ascii="黑体" w:hAnsi="黑体" w:eastAsia="黑体"/>
                <w:sz w:val="20"/>
                <w:szCs w:val="21"/>
              </w:rPr>
              <w:t xml:space="preserve"> </w:t>
            </w:r>
            <w:r>
              <w:rPr>
                <w:rFonts w:hint="eastAsia" w:ascii="黑体" w:hAnsi="黑体" w:eastAsia="黑体"/>
                <w:sz w:val="20"/>
                <w:szCs w:val="21"/>
                <w:highlight w:val="none"/>
              </w:rPr>
              <w:t xml:space="preserve">   根据信息档案中心网络与计算机终端运维、视频会议技术支持的管理要求，保障好集团日常办公及核心业务稳定运行，强化信息安全、IT 桌面运维及视频会议保障等工作。</w:t>
            </w:r>
          </w:p>
        </w:tc>
      </w:tr>
      <w:tr w14:paraId="47271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30E57BDC">
            <w:pPr>
              <w:tabs>
                <w:tab w:val="left" w:pos="630"/>
              </w:tabs>
              <w:adjustRightInd w:val="0"/>
              <w:snapToGrid w:val="0"/>
              <w:rPr>
                <w:rFonts w:ascii="黑体" w:hAnsi="宋体" w:eastAsia="黑体"/>
                <w:b/>
                <w:bCs/>
              </w:rPr>
            </w:pPr>
            <w:r>
              <w:rPr>
                <w:rFonts w:hint="eastAsia" w:ascii="黑体" w:hAnsi="宋体" w:eastAsia="黑体"/>
                <w:b/>
                <w:bCs/>
              </w:rPr>
              <w:t>三、岗位职责</w:t>
            </w:r>
          </w:p>
        </w:tc>
      </w:tr>
      <w:tr w14:paraId="0AC04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00" w:hRule="atLeast"/>
          <w:jc w:val="center"/>
        </w:trPr>
        <w:tc>
          <w:tcPr>
            <w:tcW w:w="44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EEAE6A">
            <w:pPr>
              <w:adjustRightInd w:val="0"/>
              <w:snapToGrid w:val="0"/>
              <w:rPr>
                <w:rFonts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主要职责</w:t>
            </w:r>
          </w:p>
          <w:p w14:paraId="15F8BC13">
            <w:pPr>
              <w:adjustRightInd w:val="0"/>
              <w:snapToGrid w:val="0"/>
              <w:rPr>
                <w:rFonts w:ascii="黑体" w:hAnsi="黑体" w:eastAsia="黑体"/>
                <w:sz w:val="20"/>
              </w:rPr>
            </w:pPr>
          </w:p>
        </w:tc>
        <w:tc>
          <w:tcPr>
            <w:tcW w:w="4555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326D0F02">
            <w:pPr>
              <w:numPr>
                <w:ilvl w:val="0"/>
                <w:numId w:val="1"/>
              </w:numPr>
              <w:adjustRightInd w:val="0"/>
              <w:snapToGrid w:val="0"/>
              <w:rPr>
                <w:rFonts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办公网络运维（含项目管理）</w:t>
            </w:r>
          </w:p>
          <w:p w14:paraId="72CCC73C">
            <w:pPr>
              <w:adjustRightInd w:val="0"/>
              <w:snapToGrid w:val="0"/>
              <w:rPr>
                <w:rFonts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（1）网络运维及项目管理：负责办公区有线端口（工位网口、会议室网口）状态巡检，排查松动、损坏等问题，解决有线网络断连、速率异常等故障；处理无线网络连接失败、频繁掉线、漫游卡顿等问题，监控无线带宽占用情况，协同调整限速策略；协助上级工程师完成交换机、路由器等网络设备基础配置，做好设备日志记录，发现异常流量及时上报。</w:t>
            </w:r>
          </w:p>
          <w:p w14:paraId="1B0E1433">
            <w:pPr>
              <w:adjustRightInd w:val="0"/>
              <w:snapToGrid w:val="0"/>
              <w:rPr>
                <w:rFonts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（2）网络安全与访问控制：维护员工办公网络身份认证体系，确保仅授权设备接入，规范处理访客网络申请，做好临时账号发放与权限限制；配合实施网络准入控制，禁止未安装杀毒软件、系统补丁过期的终端接入内网，监控并及时阻断私接路由器、非法共享文件夹等内网异常行为。</w:t>
            </w:r>
          </w:p>
          <w:p w14:paraId="08AACE97">
            <w:pPr>
              <w:adjustRightInd w:val="0"/>
              <w:snapToGrid w:val="0"/>
              <w:rPr>
                <w:rFonts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（3）跨部门协作与持续改进：协调网络、系统等各类运维资源，快速响应用户诉求，规范管理报修流程，落实首报负责制，为各部门提供优质高效的信息化运维服务。</w:t>
            </w:r>
          </w:p>
          <w:p w14:paraId="72CE767D">
            <w:pPr>
              <w:adjustRightInd w:val="0"/>
              <w:snapToGrid w:val="0"/>
              <w:rPr>
                <w:rFonts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2、计算机桌面运维（含项目管理）</w:t>
            </w:r>
          </w:p>
          <w:p w14:paraId="052D000A">
            <w:pPr>
              <w:adjustRightInd w:val="0"/>
              <w:snapToGrid w:val="0"/>
              <w:rPr>
                <w:rFonts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（1）日常运维：负责Windows、macOS、Linux等计算机操作系统，WPS office、Office 365、PDF及各类协作办公软件，打印机、扫描仪等办公外设的安装、配置、故障处理及全生命周期管理；快速响应员工桌面运维需求，确保终端设备正常高效使用。</w:t>
            </w:r>
          </w:p>
          <w:p w14:paraId="21420195">
            <w:pPr>
              <w:adjustRightInd w:val="0"/>
              <w:snapToGrid w:val="0"/>
              <w:rPr>
                <w:rFonts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（2）项目管理：负责项目计划制定、内外部资源（采购、行政、各业务部门）协调、项目进度跟踪、项目风险管控，组织项目验收及复盘总结，推动集团桌面运维工作平稳</w:t>
            </w:r>
            <w:r>
              <w:rPr>
                <w:rFonts w:hint="eastAsia" w:ascii="黑体" w:hAnsi="黑体" w:eastAsia="黑体"/>
                <w:sz w:val="20"/>
                <w:lang w:val="en-US" w:eastAsia="zh-CN"/>
              </w:rPr>
              <w:t>高效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sz w:val="20"/>
              </w:rPr>
              <w:t>运行。</w:t>
            </w:r>
          </w:p>
          <w:p w14:paraId="3A813359">
            <w:pPr>
              <w:adjustRightInd w:val="0"/>
              <w:snapToGrid w:val="0"/>
              <w:rPr>
                <w:rFonts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3.视频会议技术保障（含项目管理）</w:t>
            </w:r>
          </w:p>
          <w:p w14:paraId="654B6574">
            <w:pPr>
              <w:adjustRightInd w:val="0"/>
              <w:snapToGrid w:val="0"/>
              <w:rPr>
                <w:rFonts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（1）全流程技术保障：独立承担云视频会议平台等视频会议系统的部署、调试工作，做好会议过程中的实时监控及会后分析；全面负责集团各类视频会议（含核心涉密会议、日常办公会议、对外协同会议）的全流程技术保障，确保会议顺利召开。</w:t>
            </w:r>
          </w:p>
          <w:p w14:paraId="679DD310">
            <w:pPr>
              <w:adjustRightInd w:val="0"/>
              <w:snapToGrid w:val="0"/>
              <w:rPr>
                <w:rFonts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（2）保密与安全管控：严格落实会议内容加密、参会权限核验、敏感信息防泄露等措施；执行会前设备调试、会后数据清理（自动删除临时录制文件）等操作；建立并完善视频会议系统运行台账，详细记录系统运行情况、故障处理过程、设备维护信息等，实现全流程可追溯、可优化。</w:t>
            </w:r>
          </w:p>
          <w:p w14:paraId="4A99DA3F">
            <w:pPr>
              <w:adjustRightInd w:val="0"/>
              <w:snapToGrid w:val="0"/>
              <w:rPr>
                <w:rFonts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(3)应急响应保障：建立7×24小时视频会议应急保障机制，针对高管会议、涉密会议、跨国协作会议等关键场景制定专项应急预案；对视频会议系统及摄像头、麦克风、显示器、终端等相关设备进行实时监控，及时发现运行异常并快速响应，排查处理软件、硬件、网络适配等各类故障。</w:t>
            </w:r>
          </w:p>
        </w:tc>
      </w:tr>
      <w:tr w14:paraId="2E198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37" w:hRule="atLeast"/>
          <w:jc w:val="center"/>
        </w:trPr>
        <w:tc>
          <w:tcPr>
            <w:tcW w:w="44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A46D5C">
            <w:pPr>
              <w:adjustRightInd w:val="0"/>
              <w:snapToGrid w:val="0"/>
              <w:rPr>
                <w:rFonts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其他职责</w:t>
            </w:r>
          </w:p>
        </w:tc>
        <w:tc>
          <w:tcPr>
            <w:tcW w:w="4555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3C028887">
            <w:pPr>
              <w:adjustRightInd w:val="0"/>
              <w:snapToGrid w:val="0"/>
              <w:rPr>
                <w:rFonts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1.完成领导交办其他临时性工作。</w:t>
            </w:r>
          </w:p>
        </w:tc>
      </w:tr>
      <w:tr w14:paraId="59F0E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3802F3B0">
            <w:pPr>
              <w:tabs>
                <w:tab w:val="left" w:pos="630"/>
              </w:tabs>
              <w:adjustRightInd w:val="0"/>
              <w:snapToGrid w:val="0"/>
              <w:rPr>
                <w:rFonts w:ascii="宋体" w:hAnsi="宋体"/>
                <w:b/>
              </w:rPr>
            </w:pPr>
            <w:r>
              <w:rPr>
                <w:rFonts w:hint="eastAsia" w:ascii="黑体" w:hAnsi="宋体" w:eastAsia="黑体"/>
                <w:b/>
                <w:bCs/>
              </w:rPr>
              <w:t>四.主要权限</w:t>
            </w:r>
          </w:p>
        </w:tc>
      </w:tr>
      <w:tr w14:paraId="5DA2B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auto"/>
          </w:tcPr>
          <w:p w14:paraId="717DB090">
            <w:pPr>
              <w:pStyle w:val="2"/>
              <w:rPr>
                <w:rFonts w:hint="default" w:eastAsia="楷体_GB2312"/>
              </w:rPr>
            </w:pPr>
            <w:r>
              <w:rPr>
                <w:rFonts w:ascii="黑体" w:hAnsi="黑体" w:eastAsia="黑体"/>
                <w:sz w:val="20"/>
                <w:szCs w:val="22"/>
              </w:rPr>
              <w:t>1.对北京燃气集团视频会议设备、计算机终端维护工作所使用的工具、资料、数据、信息的使用权。</w:t>
            </w:r>
          </w:p>
        </w:tc>
      </w:tr>
      <w:tr w14:paraId="0B7AF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auto"/>
          </w:tcPr>
          <w:p w14:paraId="692E1F13">
            <w:pPr>
              <w:pStyle w:val="2"/>
              <w:rPr>
                <w:rFonts w:hint="default" w:ascii="黑体" w:hAnsi="黑体" w:eastAsia="黑体"/>
                <w:sz w:val="20"/>
                <w:szCs w:val="22"/>
              </w:rPr>
            </w:pPr>
            <w:r>
              <w:rPr>
                <w:rFonts w:ascii="黑体" w:hAnsi="黑体" w:eastAsia="黑体"/>
                <w:sz w:val="20"/>
                <w:szCs w:val="22"/>
              </w:rPr>
              <w:t>2.对北京燃气集团计算机终端软安全、软件正版化及终端使用的监督权。</w:t>
            </w:r>
          </w:p>
        </w:tc>
      </w:tr>
      <w:tr w14:paraId="2426E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auto"/>
          </w:tcPr>
          <w:p w14:paraId="0B6310C0">
            <w:pPr>
              <w:pStyle w:val="2"/>
              <w:rPr>
                <w:rFonts w:hint="default" w:ascii="黑体" w:hAnsi="黑体" w:eastAsia="黑体"/>
                <w:sz w:val="20"/>
                <w:szCs w:val="22"/>
              </w:rPr>
            </w:pPr>
            <w:r>
              <w:rPr>
                <w:rFonts w:ascii="黑体" w:hAnsi="黑体" w:eastAsia="黑体"/>
                <w:sz w:val="20"/>
                <w:szCs w:val="22"/>
              </w:rPr>
              <w:t>3.对北京燃气集团计算机终端使用、安全等行为的纠正权。</w:t>
            </w:r>
          </w:p>
        </w:tc>
      </w:tr>
      <w:tr w14:paraId="002B6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auto"/>
          </w:tcPr>
          <w:p w14:paraId="530DBDB5">
            <w:pPr>
              <w:pStyle w:val="2"/>
              <w:rPr>
                <w:rFonts w:hint="default" w:ascii="黑体" w:hAnsi="黑体" w:eastAsia="黑体"/>
                <w:sz w:val="20"/>
                <w:szCs w:val="22"/>
              </w:rPr>
            </w:pPr>
            <w:r>
              <w:rPr>
                <w:rFonts w:hint="default" w:ascii="黑体" w:hAnsi="黑体" w:eastAsia="黑体"/>
                <w:sz w:val="20"/>
                <w:szCs w:val="22"/>
              </w:rPr>
              <w:t>4</w:t>
            </w:r>
            <w:r>
              <w:rPr>
                <w:rFonts w:ascii="黑体" w:hAnsi="黑体" w:eastAsia="黑体"/>
                <w:sz w:val="20"/>
                <w:szCs w:val="22"/>
              </w:rPr>
              <w:t>.</w:t>
            </w:r>
            <w:r>
              <w:rPr>
                <w:rFonts w:ascii="黑体" w:hAnsi="黑体" w:eastAsia="黑体"/>
                <w:sz w:val="20"/>
              </w:rPr>
              <w:t>对本部门工作建议权。</w:t>
            </w:r>
          </w:p>
        </w:tc>
      </w:tr>
      <w:tr w14:paraId="6ABF8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4660A972">
            <w:pPr>
              <w:adjustRightInd w:val="0"/>
              <w:snapToGrid w:val="0"/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黑体" w:hAnsi="宋体" w:eastAsia="黑体"/>
                <w:b/>
                <w:bCs/>
              </w:rPr>
              <w:t>五.任职资格（条件优秀者可适当放宽）</w:t>
            </w:r>
          </w:p>
        </w:tc>
      </w:tr>
      <w:tr w14:paraId="45CF0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686" w:type="pct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C99E7B">
            <w:pPr>
              <w:jc w:val="center"/>
              <w:rPr>
                <w:rFonts w:ascii="黑体" w:hAnsi="黑体" w:eastAsia="黑体"/>
                <w:b/>
                <w:sz w:val="20"/>
              </w:rPr>
            </w:pPr>
            <w:r>
              <w:rPr>
                <w:rFonts w:hint="eastAsia" w:ascii="黑体" w:hAnsi="黑体" w:eastAsia="黑体"/>
                <w:b/>
                <w:sz w:val="20"/>
              </w:rPr>
              <w:t>政治面貌</w:t>
            </w:r>
          </w:p>
        </w:tc>
        <w:tc>
          <w:tcPr>
            <w:tcW w:w="4313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1EFA4874">
            <w:pPr>
              <w:rPr>
                <w:rFonts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无</w:t>
            </w:r>
          </w:p>
        </w:tc>
      </w:tr>
      <w:tr w14:paraId="270F2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686" w:type="pct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D04541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b/>
                <w:sz w:val="20"/>
              </w:rPr>
            </w:pPr>
            <w:r>
              <w:rPr>
                <w:rFonts w:hint="eastAsia" w:ascii="黑体" w:hAnsi="黑体" w:eastAsia="黑体"/>
                <w:b/>
                <w:sz w:val="20"/>
              </w:rPr>
              <w:t>学历要求</w:t>
            </w:r>
          </w:p>
        </w:tc>
        <w:tc>
          <w:tcPr>
            <w:tcW w:w="4313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71D067C6">
            <w:r>
              <w:rPr>
                <w:rFonts w:hint="eastAsia" w:ascii="黑体" w:hAnsi="黑体" w:eastAsia="黑体"/>
                <w:sz w:val="20"/>
                <w:szCs w:val="20"/>
              </w:rPr>
              <w:t>本科及以上</w:t>
            </w:r>
          </w:p>
        </w:tc>
      </w:tr>
      <w:tr w14:paraId="1E028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686" w:type="pct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924752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b/>
                <w:sz w:val="20"/>
              </w:rPr>
            </w:pPr>
            <w:r>
              <w:rPr>
                <w:rFonts w:hint="eastAsia" w:ascii="黑体" w:hAnsi="黑体" w:eastAsia="黑体"/>
                <w:b/>
                <w:sz w:val="20"/>
              </w:rPr>
              <w:t>适合专业</w:t>
            </w:r>
          </w:p>
        </w:tc>
        <w:tc>
          <w:tcPr>
            <w:tcW w:w="4313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2FA52E53">
            <w:pPr>
              <w:adjustRightInd w:val="0"/>
              <w:snapToGrid w:val="0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计算机相关专业</w:t>
            </w:r>
          </w:p>
        </w:tc>
      </w:tr>
      <w:tr w14:paraId="09244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686" w:type="pct"/>
            <w:gridSpan w:val="2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D881F2"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 w:val="20"/>
              </w:rPr>
            </w:pPr>
            <w:r>
              <w:rPr>
                <w:rFonts w:hint="eastAsia" w:ascii="黑体" w:hAnsi="黑体" w:eastAsia="黑体"/>
                <w:b/>
                <w:sz w:val="20"/>
              </w:rPr>
              <w:t>资质要求（学历、</w:t>
            </w:r>
          </w:p>
          <w:p w14:paraId="0E5480EF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b/>
                <w:sz w:val="20"/>
              </w:rPr>
            </w:pPr>
            <w:r>
              <w:rPr>
                <w:rFonts w:hint="eastAsia" w:ascii="黑体" w:hAnsi="黑体" w:eastAsia="黑体"/>
                <w:b/>
                <w:sz w:val="20"/>
              </w:rPr>
              <w:t>专业资质、工作年限、职级）</w:t>
            </w:r>
          </w:p>
        </w:tc>
        <w:tc>
          <w:tcPr>
            <w:tcW w:w="12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1EDBF3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学历</w:t>
            </w:r>
          </w:p>
        </w:tc>
        <w:tc>
          <w:tcPr>
            <w:tcW w:w="10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146B8D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专业资质</w:t>
            </w:r>
          </w:p>
        </w:tc>
        <w:tc>
          <w:tcPr>
            <w:tcW w:w="81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B9EDAE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工作年限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7DC775A5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备注</w:t>
            </w:r>
          </w:p>
        </w:tc>
      </w:tr>
      <w:tr w14:paraId="0C9E1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686" w:type="pct"/>
            <w:gridSpan w:val="2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433181"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 w:val="20"/>
              </w:rPr>
            </w:pPr>
          </w:p>
        </w:tc>
        <w:tc>
          <w:tcPr>
            <w:tcW w:w="12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0CB4B6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本科及以上</w:t>
            </w:r>
          </w:p>
        </w:tc>
        <w:tc>
          <w:tcPr>
            <w:tcW w:w="10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40830A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无</w:t>
            </w:r>
          </w:p>
        </w:tc>
        <w:tc>
          <w:tcPr>
            <w:tcW w:w="81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86667F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年及以上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4C422E50">
            <w:pPr>
              <w:adjustRightInd w:val="0"/>
              <w:snapToGrid w:val="0"/>
              <w:ind w:left="2" w:leftChars="-10" w:hanging="23" w:hangingChars="11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宋体" w:eastAsia="黑体"/>
                <w:highlight w:val="none"/>
              </w:rPr>
              <w:t>条件优秀者可适当放宽</w:t>
            </w:r>
          </w:p>
        </w:tc>
      </w:tr>
      <w:tr w14:paraId="2C8F8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686" w:type="pct"/>
            <w:gridSpan w:val="2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8E2CFE"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 w:val="20"/>
              </w:rPr>
            </w:pPr>
          </w:p>
        </w:tc>
        <w:tc>
          <w:tcPr>
            <w:tcW w:w="12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55229B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10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4EDF91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1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80FF2A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71E91B5C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 w14:paraId="3D9F8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686" w:type="pct"/>
            <w:gridSpan w:val="2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F992E8"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 w:val="20"/>
              </w:rPr>
            </w:pPr>
          </w:p>
        </w:tc>
        <w:tc>
          <w:tcPr>
            <w:tcW w:w="12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E1D212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10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AE4178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1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3A0AE2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3638BF26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 w14:paraId="0E3A6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665" w:hRule="atLeast"/>
          <w:jc w:val="center"/>
        </w:trPr>
        <w:tc>
          <w:tcPr>
            <w:tcW w:w="686" w:type="pct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39BB52">
            <w:pPr>
              <w:jc w:val="center"/>
              <w:rPr>
                <w:rFonts w:ascii="黑体" w:hAnsi="黑体" w:eastAsia="黑体"/>
                <w:b/>
                <w:sz w:val="20"/>
              </w:rPr>
            </w:pPr>
            <w:r>
              <w:rPr>
                <w:rFonts w:hint="eastAsia" w:ascii="黑体" w:hAnsi="黑体" w:eastAsia="黑体"/>
                <w:b/>
                <w:sz w:val="20"/>
              </w:rPr>
              <w:t>知识技能</w:t>
            </w:r>
          </w:p>
        </w:tc>
        <w:tc>
          <w:tcPr>
            <w:tcW w:w="4313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28352879">
            <w:pPr>
              <w:adjustRightInd w:val="0"/>
              <w:snapToGrid w:val="0"/>
              <w:rPr>
                <w:rFonts w:ascii="黑体" w:hAnsi="黑体" w:eastAsia="黑体"/>
                <w:sz w:val="20"/>
                <w:highlight w:val="none"/>
              </w:rPr>
            </w:pPr>
            <w:r>
              <w:rPr>
                <w:rFonts w:hint="eastAsia" w:ascii="黑体" w:hAnsi="黑体" w:eastAsia="黑体"/>
                <w:sz w:val="20"/>
                <w:highlight w:val="none"/>
              </w:rPr>
              <w:t>1.具备丰富的计算机专业知识，尤其在网络运维与计算机桌面运维方面有丰富的专业实践经验；</w:t>
            </w:r>
          </w:p>
          <w:p w14:paraId="2488728B">
            <w:pPr>
              <w:adjustRightInd w:val="0"/>
              <w:snapToGrid w:val="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黑体" w:hAnsi="黑体" w:eastAsia="黑体"/>
                <w:sz w:val="20"/>
              </w:rPr>
              <w:t xml:space="preserve">2.熟悉中心业务工作流程，能够完成各项终端维护工作。 </w:t>
            </w:r>
          </w:p>
          <w:p w14:paraId="68377C92">
            <w:pPr>
              <w:adjustRightInd w:val="0"/>
              <w:snapToGrid w:val="0"/>
              <w:rPr>
                <w:rFonts w:ascii="黑体" w:hAnsi="黑体" w:eastAsia="黑体"/>
                <w:sz w:val="20"/>
              </w:rPr>
            </w:pPr>
          </w:p>
        </w:tc>
      </w:tr>
      <w:tr w14:paraId="5005A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77" w:hRule="atLeast"/>
          <w:jc w:val="center"/>
        </w:trPr>
        <w:tc>
          <w:tcPr>
            <w:tcW w:w="686" w:type="pct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5A69ABDE">
            <w:pPr>
              <w:jc w:val="center"/>
              <w:rPr>
                <w:rFonts w:ascii="黑体" w:hAnsi="黑体" w:eastAsia="黑体"/>
                <w:b/>
                <w:sz w:val="20"/>
              </w:rPr>
            </w:pPr>
            <w:r>
              <w:rPr>
                <w:rFonts w:hint="eastAsia" w:ascii="黑体" w:hAnsi="黑体" w:eastAsia="黑体"/>
                <w:b/>
                <w:sz w:val="20"/>
              </w:rPr>
              <w:t>行为素质</w:t>
            </w:r>
          </w:p>
        </w:tc>
        <w:tc>
          <w:tcPr>
            <w:tcW w:w="4313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26D4C625">
            <w:pPr>
              <w:adjustRightInd w:val="0"/>
              <w:snapToGrid w:val="0"/>
              <w:rPr>
                <w:rFonts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 xml:space="preserve">1.政治素质好，具有较强的执行力，具有较强的原则性和责任心，为人公正，立场客观； </w:t>
            </w:r>
          </w:p>
          <w:p w14:paraId="32D7F3D3">
            <w:pPr>
              <w:adjustRightInd w:val="0"/>
              <w:snapToGrid w:val="0"/>
              <w:rPr>
                <w:rFonts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2.有较强的学习能力和保密意识，对信息技术领域的新信息、新知识具有相当的敏感性，能够迅速更新自身的知识内容；</w:t>
            </w:r>
          </w:p>
          <w:p w14:paraId="68FF0257">
            <w:pPr>
              <w:adjustRightInd w:val="0"/>
              <w:snapToGrid w:val="0"/>
              <w:rPr>
                <w:rFonts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3.具备较强的团队意识和全局意识，善于沟通以及协作、配合，能在部门内外建立良好的工作关系；</w:t>
            </w:r>
          </w:p>
        </w:tc>
      </w:tr>
    </w:tbl>
    <w:p w14:paraId="3BCD7FD2"/>
    <w:p w14:paraId="6D4D459C">
      <w:pPr>
        <w:jc w:val="center"/>
        <w:rPr>
          <w:rFonts w:eastAsia="黑体"/>
          <w:b/>
          <w:sz w:val="32"/>
        </w:rPr>
      </w:pPr>
    </w:p>
    <w:p w14:paraId="6FC8A134">
      <w:pPr>
        <w:jc w:val="center"/>
        <w:rPr>
          <w:rFonts w:eastAsia="黑体"/>
          <w:b/>
          <w:sz w:val="32"/>
        </w:rPr>
      </w:pPr>
    </w:p>
    <w:p w14:paraId="38B990FC">
      <w:pPr>
        <w:jc w:val="center"/>
        <w:rPr>
          <w:rFonts w:eastAsia="黑体"/>
          <w:b/>
          <w:sz w:val="32"/>
        </w:rPr>
      </w:pPr>
    </w:p>
    <w:p w14:paraId="7F36FE2B">
      <w:pPr>
        <w:jc w:val="center"/>
        <w:rPr>
          <w:rFonts w:eastAsia="黑体"/>
          <w:b/>
          <w:sz w:val="32"/>
        </w:rPr>
      </w:pPr>
    </w:p>
    <w:p w14:paraId="13C6294A">
      <w:pPr>
        <w:jc w:val="center"/>
        <w:rPr>
          <w:rFonts w:eastAsia="黑体"/>
          <w:b/>
          <w:sz w:val="32"/>
        </w:rPr>
      </w:pPr>
    </w:p>
    <w:p w14:paraId="29FC8861">
      <w:pPr>
        <w:jc w:val="center"/>
        <w:rPr>
          <w:rFonts w:eastAsia="黑体"/>
          <w:b/>
          <w:sz w:val="32"/>
        </w:rPr>
      </w:pPr>
    </w:p>
    <w:p w14:paraId="0C17129D">
      <w:pPr>
        <w:jc w:val="center"/>
        <w:rPr>
          <w:rFonts w:eastAsia="黑体"/>
          <w:b/>
          <w:sz w:val="32"/>
        </w:rPr>
      </w:pPr>
    </w:p>
    <w:p w14:paraId="0A6F0C37">
      <w:pPr>
        <w:jc w:val="center"/>
        <w:rPr>
          <w:rFonts w:eastAsia="黑体"/>
          <w:b/>
          <w:sz w:val="32"/>
        </w:rPr>
      </w:pPr>
    </w:p>
    <w:p w14:paraId="151E8661">
      <w:pPr>
        <w:jc w:val="center"/>
        <w:rPr>
          <w:rFonts w:eastAsia="黑体"/>
          <w:b/>
          <w:sz w:val="32"/>
        </w:rPr>
      </w:pPr>
    </w:p>
    <w:p w14:paraId="2F1C4F1E">
      <w:pPr>
        <w:jc w:val="center"/>
        <w:rPr>
          <w:rFonts w:eastAsia="黑体"/>
          <w:b/>
          <w:sz w:val="32"/>
        </w:rPr>
      </w:pPr>
    </w:p>
    <w:p w14:paraId="52C626B9">
      <w:pPr>
        <w:jc w:val="center"/>
        <w:rPr>
          <w:rFonts w:eastAsia="黑体"/>
          <w:b/>
          <w:sz w:val="32"/>
        </w:rPr>
      </w:pPr>
    </w:p>
    <w:p w14:paraId="0D2771CC">
      <w:pPr>
        <w:jc w:val="center"/>
        <w:rPr>
          <w:rFonts w:eastAsia="黑体"/>
          <w:b/>
          <w:sz w:val="32"/>
        </w:rPr>
      </w:pPr>
    </w:p>
    <w:p w14:paraId="449BD0C7">
      <w:pPr>
        <w:jc w:val="center"/>
        <w:rPr>
          <w:rFonts w:eastAsia="黑体"/>
          <w:b/>
          <w:sz w:val="32"/>
        </w:rPr>
      </w:pPr>
    </w:p>
    <w:p w14:paraId="69C45EBD">
      <w:pPr>
        <w:jc w:val="center"/>
        <w:rPr>
          <w:rFonts w:eastAsia="黑体"/>
          <w:b/>
          <w:sz w:val="32"/>
        </w:rPr>
      </w:pPr>
    </w:p>
    <w:p w14:paraId="6F54EB69">
      <w:pPr>
        <w:jc w:val="center"/>
        <w:rPr>
          <w:rFonts w:eastAsia="黑体"/>
          <w:b/>
          <w:sz w:val="32"/>
        </w:rPr>
      </w:pPr>
    </w:p>
    <w:p w14:paraId="5C42B1E9">
      <w:pPr>
        <w:jc w:val="center"/>
        <w:rPr>
          <w:rFonts w:eastAsia="黑体"/>
          <w:b/>
          <w:sz w:val="32"/>
        </w:rPr>
      </w:pPr>
    </w:p>
    <w:p w14:paraId="71BB680D">
      <w:pPr>
        <w:jc w:val="center"/>
        <w:rPr>
          <w:rFonts w:eastAsia="黑体"/>
          <w:b/>
          <w:sz w:val="32"/>
        </w:rPr>
      </w:pPr>
    </w:p>
    <w:p w14:paraId="7736F602">
      <w:pPr>
        <w:jc w:val="center"/>
        <w:rPr>
          <w:rFonts w:eastAsia="黑体"/>
          <w:b/>
          <w:sz w:val="32"/>
        </w:rPr>
      </w:pPr>
    </w:p>
    <w:p w14:paraId="739F5EA2">
      <w:pPr>
        <w:jc w:val="center"/>
        <w:rPr>
          <w:rFonts w:eastAsia="黑体"/>
          <w:b/>
          <w:sz w:val="32"/>
        </w:rPr>
      </w:pPr>
    </w:p>
    <w:p w14:paraId="5AED837D">
      <w:pPr>
        <w:jc w:val="center"/>
        <w:rPr>
          <w:rFonts w:eastAsia="黑体"/>
          <w:b/>
          <w:sz w:val="32"/>
        </w:rPr>
      </w:pPr>
    </w:p>
    <w:p w14:paraId="478FE058">
      <w:pPr>
        <w:jc w:val="center"/>
        <w:rPr>
          <w:rFonts w:eastAsia="黑体"/>
          <w:b/>
          <w:sz w:val="32"/>
        </w:rPr>
      </w:pPr>
    </w:p>
    <w:p w14:paraId="2AE55B76"/>
    <w:sectPr>
      <w:pgSz w:w="11906" w:h="16838"/>
      <w:pgMar w:top="573" w:right="567" w:bottom="573" w:left="573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413DF0"/>
    <w:multiLevelType w:val="singleLevel"/>
    <w:tmpl w:val="BC413DF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220074"/>
    <w:rsid w:val="002330C6"/>
    <w:rsid w:val="00651376"/>
    <w:rsid w:val="009B0BF8"/>
    <w:rsid w:val="00A648C7"/>
    <w:rsid w:val="00B54AE4"/>
    <w:rsid w:val="00DC5D98"/>
    <w:rsid w:val="0CAD57E8"/>
    <w:rsid w:val="178C1901"/>
    <w:rsid w:val="28EE6F56"/>
    <w:rsid w:val="2B220074"/>
    <w:rsid w:val="46690BD8"/>
    <w:rsid w:val="5AE107FB"/>
    <w:rsid w:val="5D533DFE"/>
    <w:rsid w:val="62D90A3C"/>
    <w:rsid w:val="67DD2D7C"/>
    <w:rsid w:val="6E9B0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semiHidden/>
    <w:qFormat/>
    <w:uiPriority w:val="0"/>
    <w:rPr>
      <w:rFonts w:hint="eastAsia" w:ascii="宋体" w:hAnsi="Courier New"/>
      <w:szCs w:val="20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1546</Words>
  <Characters>1591</Characters>
  <Lines>12</Lines>
  <Paragraphs>3</Paragraphs>
  <TotalTime>5</TotalTime>
  <ScaleCrop>false</ScaleCrop>
  <LinksUpToDate>false</LinksUpToDate>
  <CharactersWithSpaces>1600</CharactersWithSpaces>
  <Application>WPS Office_12.1.0.22525_F1E327BC-269C-435d-A152-05C5408002CA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2026-04-07T01:23:00Z</dcterms:created>
  <dc:creator> </dc:creator>
  <cp:lastModifiedBy>JING</cp:lastModifiedBy>
  <dcterms:modified xsi:type="dcterms:W3CDTF">2026-04-24T08:09:27Z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2052-12.1.0.22525</vt:lpwstr>
  </property>
  <property fmtid="{D5CDD505-2E9C-101B-9397-08002B2CF9AE}" pid="3" name="ICV">
    <vt:lpwstr>1C96859D57914BA6B90C05EE1A445CE2_11</vt:lpwstr>
  </property>
  <property fmtid="{D5CDD505-2E9C-101B-9397-08002B2CF9AE}" pid="4" name="KSOTemplateDocerSaveRecord">
    <vt:lpwstr>eyJoZGlkIjoiZmRjZjZiNDNlZjJkZDNmMGU2NGUwNGM1NTQ1ODMzOTQiLCJ1c2VySWQiOiI0MDMyNzQ1NjIifQ==</vt:lpwstr>
  </property>
</Properties>
</file>