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1212"/>
      </w:tblGrid>
      <w:tr w14:paraId="7DC2799A">
        <w:tblPrEx>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tcMar>
              <w:top w:w="12" w:type="dxa"/>
              <w:left w:w="12" w:type="dxa"/>
              <w:right w:w="12" w:type="dxa"/>
            </w:tcMar>
            <w:vAlign w:val="center"/>
          </w:tcPr>
          <w:p w14:paraId="263C9591">
            <w:pPr>
              <w:widowControl/>
              <w:jc w:val="left"/>
              <w:textAlignment w:val="center"/>
              <w:rPr>
                <w:rFonts w:ascii="Times New Roman" w:hAnsi="Times New Roman" w:eastAsia="方正小标宋_GBK"/>
                <w:bCs/>
                <w:color w:val="000000"/>
                <w:kern w:val="0"/>
                <w:sz w:val="36"/>
                <w:szCs w:val="36"/>
                <w:lang w:bidi="ar"/>
              </w:rPr>
            </w:pPr>
            <w:bookmarkStart w:id="0" w:name="_GoBack"/>
            <w:bookmarkEnd w:id="0"/>
            <w:r>
              <w:rPr>
                <w:rFonts w:ascii="Times New Roman" w:hAnsi="Times New Roman" w:eastAsia="方正黑体_GBK"/>
                <w:bCs/>
                <w:color w:val="000000"/>
                <w:kern w:val="0"/>
                <w:sz w:val="32"/>
                <w:szCs w:val="32"/>
                <w:lang w:bidi="ar"/>
              </w:rPr>
              <w:t>附件1</w:t>
            </w:r>
            <w:r>
              <w:rPr>
                <w:rFonts w:hint="eastAsia" w:ascii="Times New Roman" w:hAnsi="Times New Roman" w:eastAsia="方正黑体_GBK"/>
                <w:bCs/>
                <w:color w:val="000000"/>
                <w:kern w:val="0"/>
                <w:sz w:val="32"/>
                <w:szCs w:val="32"/>
                <w:lang w:bidi="ar"/>
              </w:rPr>
              <w:t>：</w:t>
            </w:r>
            <w:r>
              <w:rPr>
                <w:rFonts w:ascii="Times New Roman" w:hAnsi="Times New Roman" w:eastAsia="方正小标宋_GBK"/>
                <w:bCs/>
                <w:color w:val="000000"/>
                <w:kern w:val="0"/>
                <w:sz w:val="36"/>
                <w:szCs w:val="36"/>
                <w:lang w:bidi="ar"/>
              </w:rPr>
              <w:t xml:space="preserve">           </w:t>
            </w:r>
          </w:p>
          <w:p w14:paraId="7D429105">
            <w:pPr>
              <w:widowControl/>
              <w:jc w:val="center"/>
              <w:textAlignment w:val="center"/>
              <w:rPr>
                <w:rFonts w:ascii="Times New Roman" w:hAnsi="Times New Roman" w:eastAsia="宋体"/>
                <w:b/>
                <w:color w:val="000000"/>
                <w:sz w:val="36"/>
                <w:szCs w:val="36"/>
              </w:rPr>
            </w:pPr>
            <w:r>
              <w:rPr>
                <w:rFonts w:hint="eastAsia" w:ascii="Times New Roman" w:hAnsi="Times New Roman" w:eastAsia="方正小标宋_GBK"/>
                <w:bCs/>
                <w:color w:val="000000"/>
                <w:kern w:val="0"/>
                <w:sz w:val="36"/>
                <w:szCs w:val="36"/>
                <w:lang w:bidi="ar"/>
              </w:rPr>
              <w:t>天津市津南区消防救援</w:t>
            </w:r>
            <w:r>
              <w:rPr>
                <w:rFonts w:hint="eastAsia" w:ascii="Times New Roman" w:hAnsi="Times New Roman" w:eastAsia="方正小标宋_GBK"/>
                <w:bCs/>
                <w:color w:val="000000"/>
                <w:kern w:val="0"/>
                <w:sz w:val="36"/>
                <w:szCs w:val="36"/>
                <w:lang w:eastAsia="zh-CN" w:bidi="ar"/>
              </w:rPr>
              <w:t>局</w:t>
            </w:r>
            <w:r>
              <w:rPr>
                <w:rFonts w:ascii="Times New Roman" w:hAnsi="Times New Roman" w:eastAsia="方正小标宋_GBK"/>
                <w:bCs/>
                <w:color w:val="000000"/>
                <w:kern w:val="0"/>
                <w:sz w:val="36"/>
                <w:szCs w:val="36"/>
                <w:lang w:bidi="ar"/>
              </w:rPr>
              <w:t>政府专职消防员招录计划表</w:t>
            </w:r>
          </w:p>
        </w:tc>
      </w:tr>
      <w:tr w14:paraId="7D2EC5E3">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28C014D7">
            <w:pPr>
              <w:widowControl/>
              <w:jc w:val="left"/>
              <w:textAlignment w:val="center"/>
              <w:rPr>
                <w:rFonts w:hint="eastAsia" w:ascii="Times New Roman" w:hAnsi="Times New Roman" w:eastAsia="方正楷体_GBK"/>
                <w:color w:val="000000"/>
                <w:szCs w:val="21"/>
                <w:lang w:eastAsia="zh-CN"/>
              </w:rPr>
            </w:pPr>
            <w:r>
              <w:rPr>
                <w:rFonts w:ascii="Times New Roman" w:hAnsi="Times New Roman" w:eastAsia="方正楷体_GBK"/>
                <w:color w:val="000000"/>
                <w:kern w:val="0"/>
                <w:szCs w:val="21"/>
                <w:lang w:bidi="ar"/>
              </w:rPr>
              <w:t>单位：</w:t>
            </w:r>
            <w:r>
              <w:rPr>
                <w:rFonts w:hint="eastAsia" w:ascii="Times New Roman" w:hAnsi="Times New Roman" w:eastAsia="方正楷体_GBK"/>
                <w:color w:val="000000"/>
                <w:kern w:val="0"/>
                <w:szCs w:val="21"/>
                <w:lang w:bidi="ar"/>
              </w:rPr>
              <w:t>天津市津南区消防救援</w:t>
            </w:r>
            <w:r>
              <w:rPr>
                <w:rFonts w:hint="eastAsia" w:ascii="Times New Roman" w:hAnsi="Times New Roman" w:eastAsia="方正楷体_GBK"/>
                <w:color w:val="000000"/>
                <w:kern w:val="0"/>
                <w:szCs w:val="21"/>
                <w:lang w:eastAsia="zh-CN" w:bidi="ar"/>
              </w:rPr>
              <w:t>局</w:t>
            </w:r>
          </w:p>
        </w:tc>
        <w:tc>
          <w:tcPr>
            <w:tcW w:w="1714" w:type="dxa"/>
            <w:tcBorders>
              <w:top w:val="nil"/>
              <w:left w:val="nil"/>
              <w:bottom w:val="single" w:color="000000" w:sz="4" w:space="0"/>
              <w:right w:val="nil"/>
            </w:tcBorders>
            <w:tcMar>
              <w:top w:w="12" w:type="dxa"/>
              <w:left w:w="12" w:type="dxa"/>
              <w:right w:w="12" w:type="dxa"/>
            </w:tcMar>
            <w:vAlign w:val="center"/>
          </w:tcPr>
          <w:p w14:paraId="6BEC3460">
            <w:pPr>
              <w:jc w:val="center"/>
              <w:rPr>
                <w:rFonts w:ascii="Times New Roman" w:hAnsi="Times New Roman" w:eastAsia="宋体"/>
                <w:b/>
                <w:color w:val="000000"/>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5FA23086">
            <w:pPr>
              <w:jc w:val="center"/>
              <w:rPr>
                <w:rFonts w:ascii="Times New Roman" w:hAnsi="Times New Roman" w:eastAsia="宋体"/>
                <w:b/>
                <w:color w:val="000000"/>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6C2C6303">
            <w:pPr>
              <w:jc w:val="center"/>
              <w:rPr>
                <w:rFonts w:ascii="Times New Roman" w:hAnsi="Times New Roman" w:eastAsia="宋体"/>
                <w:b/>
                <w:color w:val="000000"/>
                <w:szCs w:val="21"/>
              </w:rPr>
            </w:pPr>
          </w:p>
        </w:tc>
        <w:tc>
          <w:tcPr>
            <w:tcW w:w="1212" w:type="dxa"/>
            <w:tcBorders>
              <w:top w:val="nil"/>
              <w:left w:val="nil"/>
              <w:bottom w:val="single" w:color="000000" w:sz="4" w:space="0"/>
              <w:right w:val="nil"/>
            </w:tcBorders>
            <w:tcMar>
              <w:top w:w="12" w:type="dxa"/>
              <w:left w:w="12" w:type="dxa"/>
              <w:right w:w="12" w:type="dxa"/>
            </w:tcMar>
            <w:vAlign w:val="center"/>
          </w:tcPr>
          <w:p w14:paraId="7DDF5E3A">
            <w:pPr>
              <w:jc w:val="center"/>
              <w:rPr>
                <w:rFonts w:ascii="Times New Roman" w:hAnsi="Times New Roman" w:eastAsia="宋体"/>
                <w:b/>
                <w:color w:val="000000"/>
                <w:szCs w:val="21"/>
              </w:rPr>
            </w:pPr>
          </w:p>
        </w:tc>
      </w:tr>
      <w:tr w14:paraId="2CA52E17">
        <w:tblPrEx>
          <w:tblCellMar>
            <w:top w:w="0" w:type="dxa"/>
            <w:left w:w="0" w:type="dxa"/>
            <w:bottom w:w="0" w:type="dxa"/>
            <w:right w:w="0" w:type="dxa"/>
          </w:tblCellMar>
        </w:tblPrEx>
        <w:trPr>
          <w:trHeight w:val="90"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6A882F">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F72A26">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18BAB1">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招录条件</w:t>
            </w:r>
          </w:p>
        </w:tc>
        <w:tc>
          <w:tcPr>
            <w:tcW w:w="12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BEC555">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咨询电话</w:t>
            </w:r>
          </w:p>
        </w:tc>
      </w:tr>
      <w:tr w14:paraId="093C4BF6">
        <w:tblPrEx>
          <w:tblCellMar>
            <w:top w:w="0" w:type="dxa"/>
            <w:left w:w="0" w:type="dxa"/>
            <w:bottom w:w="0" w:type="dxa"/>
            <w:right w:w="0" w:type="dxa"/>
          </w:tblCellMar>
        </w:tblPrEx>
        <w:trPr>
          <w:trHeight w:val="316"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E5E486">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7CBD0D">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6D636E">
            <w:pPr>
              <w:jc w:val="center"/>
              <w:rPr>
                <w:rFonts w:ascii="Times New Roman" w:hAnsi="Times New Roman" w:eastAsia="宋体"/>
                <w:b/>
                <w:color w:val="000000"/>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8C4648">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711165">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B53658">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其他</w:t>
            </w:r>
          </w:p>
        </w:tc>
        <w:tc>
          <w:tcPr>
            <w:tcW w:w="12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F2A1F7">
            <w:pPr>
              <w:jc w:val="center"/>
              <w:rPr>
                <w:rFonts w:ascii="Times New Roman" w:hAnsi="Times New Roman" w:eastAsia="宋体"/>
                <w:b/>
                <w:color w:val="000000"/>
                <w:szCs w:val="21"/>
              </w:rPr>
            </w:pPr>
          </w:p>
        </w:tc>
      </w:tr>
      <w:tr w14:paraId="3EDAAB03">
        <w:tblPrEx>
          <w:tblCellMar>
            <w:top w:w="0" w:type="dxa"/>
            <w:left w:w="0" w:type="dxa"/>
            <w:bottom w:w="0" w:type="dxa"/>
            <w:right w:w="0" w:type="dxa"/>
          </w:tblCellMar>
        </w:tblPrEx>
        <w:trPr>
          <w:trHeight w:val="5119"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3ADDED">
            <w:pPr>
              <w:widowControl/>
              <w:jc w:val="center"/>
              <w:textAlignment w:val="center"/>
              <w:rPr>
                <w:rFonts w:ascii="Times New Roman" w:hAnsi="Times New Roman" w:eastAsia="方正仿宋_GBK"/>
                <w:color w:val="000000"/>
                <w:szCs w:val="21"/>
              </w:rPr>
            </w:pPr>
            <w:r>
              <w:rPr>
                <w:rFonts w:ascii="Times New Roman" w:hAnsi="Times New Roman" w:eastAsia="方正仿宋_GBK"/>
                <w:color w:val="000000"/>
                <w:kern w:val="0"/>
                <w:szCs w:val="21"/>
                <w:lang w:bidi="ar"/>
              </w:rPr>
              <w:t>灭火救援员</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60CAD5">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（一）了解辖区交通道路、消防水源、重点单位等基本情况；</w:t>
            </w:r>
          </w:p>
          <w:p w14:paraId="2651F8EA">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（二）保持个人防护装备和分管装备完整好用，熟悉装备性能，熟练操作使用；</w:t>
            </w:r>
          </w:p>
          <w:p w14:paraId="31C6F0F1">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（三）掌握辖区主要灾害事故处置的行动要求、安全注意事项，熟悉灭火救援预案中本岗位的主要任务；</w:t>
            </w:r>
          </w:p>
          <w:p w14:paraId="38160F6A">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（四）掌握相关建筑消防设施的实战应用方法；</w:t>
            </w:r>
          </w:p>
          <w:p w14:paraId="415A2262">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（五）积极参加教育、学习、训练活动，具备应有的火灾扑救和应急救援业务技能，入职培训后取得相应等级的消防员职业技能鉴定资格证书；</w:t>
            </w:r>
          </w:p>
          <w:p w14:paraId="39E5F161">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69DFAB">
            <w:pPr>
              <w:widowControl/>
              <w:jc w:val="center"/>
              <w:textAlignment w:val="center"/>
              <w:rPr>
                <w:rFonts w:hint="default"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B67D43">
            <w:pPr>
              <w:widowControl/>
              <w:jc w:val="center"/>
              <w:textAlignment w:val="center"/>
              <w:rPr>
                <w:rFonts w:ascii="Times New Roman" w:hAnsi="Times New Roman" w:eastAsia="方正仿宋_GBK"/>
                <w:color w:val="000000"/>
                <w:szCs w:val="21"/>
              </w:rPr>
            </w:pPr>
            <w:r>
              <w:rPr>
                <w:rFonts w:ascii="Times New Roman" w:hAnsi="Times New Roman" w:eastAsia="方正仿宋_GBK"/>
                <w:color w:val="000000"/>
                <w:kern w:val="0"/>
                <w:szCs w:val="21"/>
                <w:lang w:bidi="ar"/>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F03A86">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高中及以上</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01EF95">
            <w:pPr>
              <w:widowControl/>
              <w:textAlignment w:val="center"/>
              <w:rPr>
                <w:rFonts w:ascii="Times New Roman" w:hAnsi="Times New Roman" w:eastAsia="方正仿宋_GBK"/>
                <w:color w:val="000000"/>
                <w:szCs w:val="21"/>
              </w:rPr>
            </w:pPr>
            <w:r>
              <w:rPr>
                <w:rFonts w:ascii="Times New Roman" w:hAnsi="Times New Roman" w:eastAsia="方正仿宋_GBK"/>
                <w:color w:val="000000"/>
                <w:szCs w:val="21"/>
              </w:rPr>
              <w:t>建议</w:t>
            </w:r>
            <w:r>
              <w:rPr>
                <w:rFonts w:hint="eastAsia" w:ascii="Times New Roman" w:hAnsi="Times New Roman" w:eastAsia="方正仿宋_GBK"/>
                <w:color w:val="000000"/>
                <w:szCs w:val="21"/>
              </w:rPr>
              <w:t>为</w:t>
            </w:r>
            <w:r>
              <w:rPr>
                <w:rFonts w:ascii="Times New Roman" w:hAnsi="Times New Roman" w:eastAsia="方正仿宋_GBK"/>
                <w:color w:val="000000"/>
                <w:szCs w:val="21"/>
              </w:rPr>
              <w:t>男性，年龄为18至30周岁之间</w:t>
            </w:r>
            <w:r>
              <w:rPr>
                <w:rFonts w:hint="eastAsia" w:ascii="Times New Roman" w:hAnsi="Times New Roman" w:eastAsia="方正仿宋_GBK"/>
                <w:color w:val="000000"/>
                <w:szCs w:val="21"/>
              </w:rPr>
              <w:t>，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511D38">
            <w:pPr>
              <w:jc w:val="center"/>
              <w:rPr>
                <w:rFonts w:hint="default" w:ascii="Times New Roman" w:hAnsi="Times New Roman" w:eastAsia="方正仿宋_GBK"/>
                <w:color w:val="000000"/>
                <w:szCs w:val="21"/>
                <w:lang w:val="en-US" w:eastAsia="zh-CN"/>
              </w:rPr>
            </w:pPr>
            <w:r>
              <w:rPr>
                <w:rFonts w:ascii="Times New Roman" w:hAnsi="Times New Roman" w:eastAsia="方正仿宋_GBK"/>
                <w:color w:val="000000"/>
                <w:sz w:val="18"/>
                <w:szCs w:val="18"/>
              </w:rPr>
              <w:t>022-</w:t>
            </w:r>
            <w:r>
              <w:rPr>
                <w:rFonts w:hint="eastAsia" w:ascii="Times New Roman" w:hAnsi="Times New Roman" w:eastAsia="方正仿宋_GBK"/>
                <w:color w:val="000000"/>
                <w:sz w:val="18"/>
                <w:szCs w:val="18"/>
                <w:lang w:val="en-US" w:eastAsia="zh-CN"/>
              </w:rPr>
              <w:t>28393189转8302</w:t>
            </w:r>
          </w:p>
        </w:tc>
      </w:tr>
    </w:tbl>
    <w:p w14:paraId="65DF585F">
      <w:pPr>
        <w:wordWrap w:val="0"/>
        <w:spacing w:line="560" w:lineRule="exact"/>
        <w:rPr>
          <w:rFonts w:hint="eastAsia" w:asciiTheme="minorEastAsia" w:hAnsiTheme="minorEastAsia" w:eastAsiaTheme="minorEastAsia" w:cstheme="minorEastAsia"/>
          <w:color w:val="000000" w:themeColor="text1"/>
          <w:sz w:val="32"/>
          <w:szCs w:val="32"/>
          <w14:textFill>
            <w14:solidFill>
              <w14:schemeClr w14:val="tx1"/>
            </w14:solidFill>
          </w14:textFill>
        </w:rPr>
        <w:sectPr>
          <w:footerReference r:id="rId3" w:type="default"/>
          <w:pgSz w:w="16838" w:h="11906" w:orient="landscape"/>
          <w:pgMar w:top="2154" w:right="1474" w:bottom="1984" w:left="1587" w:header="851" w:footer="992" w:gutter="0"/>
          <w:pgNumType w:fmt="numberInDash"/>
          <w:cols w:space="0" w:num="1"/>
          <w:docGrid w:type="lines" w:linePitch="315" w:charSpace="0"/>
        </w:sectPr>
      </w:pPr>
    </w:p>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1212"/>
      </w:tblGrid>
      <w:tr w14:paraId="7559287B">
        <w:tblPrEx>
          <w:tblCellMar>
            <w:top w:w="0" w:type="dxa"/>
            <w:left w:w="0" w:type="dxa"/>
            <w:bottom w:w="0" w:type="dxa"/>
            <w:right w:w="0" w:type="dxa"/>
          </w:tblCellMar>
        </w:tblPrEx>
        <w:trPr>
          <w:trHeight w:val="314" w:hRule="atLeast"/>
        </w:trPr>
        <w:tc>
          <w:tcPr>
            <w:tcW w:w="4913" w:type="dxa"/>
            <w:gridSpan w:val="2"/>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EA6A5A4">
            <w:pPr>
              <w:widowControl/>
              <w:jc w:val="center"/>
              <w:textAlignment w:val="center"/>
              <w:rPr>
                <w:b/>
              </w:rPr>
            </w:pPr>
            <w:r>
              <w:rPr>
                <w:rFonts w:ascii="Times New Roman" w:hAnsi="Times New Roman" w:eastAsia="宋体"/>
                <w:b/>
                <w:color w:val="000000"/>
                <w:kern w:val="0"/>
                <w:szCs w:val="21"/>
                <w:lang w:bidi="ar"/>
              </w:rPr>
              <w:t>招录岗位</w:t>
            </w:r>
          </w:p>
        </w:tc>
        <w:tc>
          <w:tcPr>
            <w:tcW w:w="987"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A2D690F">
            <w:pPr>
              <w:widowControl/>
              <w:jc w:val="center"/>
              <w:textAlignment w:val="center"/>
            </w:pPr>
            <w:r>
              <w:rPr>
                <w:rFonts w:ascii="Times New Roman" w:hAnsi="Times New Roman" w:eastAsia="宋体"/>
                <w:b/>
                <w:color w:val="000000"/>
                <w:kern w:val="0"/>
                <w:szCs w:val="21"/>
                <w:lang w:bidi="ar"/>
              </w:rPr>
              <w:t>招录人数</w:t>
            </w:r>
          </w:p>
        </w:tc>
        <w:tc>
          <w:tcPr>
            <w:tcW w:w="6208" w:type="dxa"/>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14:paraId="5B242E2D">
            <w:pPr>
              <w:widowControl/>
              <w:jc w:val="center"/>
              <w:textAlignment w:val="center"/>
              <w:rPr>
                <w:b/>
              </w:rPr>
            </w:pPr>
            <w:r>
              <w:rPr>
                <w:rFonts w:ascii="Times New Roman" w:hAnsi="Times New Roman" w:eastAsia="宋体"/>
                <w:b/>
                <w:color w:val="000000"/>
                <w:kern w:val="0"/>
                <w:szCs w:val="21"/>
                <w:lang w:bidi="ar"/>
              </w:rPr>
              <w:t>招录条件</w:t>
            </w:r>
          </w:p>
        </w:tc>
        <w:tc>
          <w:tcPr>
            <w:tcW w:w="1212"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60C6A5D">
            <w:pPr>
              <w:widowControl/>
              <w:jc w:val="center"/>
              <w:textAlignment w:val="center"/>
            </w:pPr>
            <w:r>
              <w:rPr>
                <w:rFonts w:ascii="Times New Roman" w:hAnsi="Times New Roman" w:eastAsia="宋体"/>
                <w:b/>
                <w:color w:val="000000"/>
                <w:kern w:val="0"/>
                <w:szCs w:val="21"/>
                <w:lang w:bidi="ar"/>
              </w:rPr>
              <w:t>咨询电话</w:t>
            </w:r>
          </w:p>
        </w:tc>
      </w:tr>
      <w:tr w14:paraId="658D2F72">
        <w:tblPrEx>
          <w:tblCellMar>
            <w:top w:w="0" w:type="dxa"/>
            <w:left w:w="0" w:type="dxa"/>
            <w:bottom w:w="0" w:type="dxa"/>
            <w:right w:w="0" w:type="dxa"/>
          </w:tblCellMar>
        </w:tblPrEx>
        <w:trPr>
          <w:trHeight w:val="292" w:hRule="atLeast"/>
        </w:trPr>
        <w:tc>
          <w:tcPr>
            <w:tcW w:w="1304" w:type="dxa"/>
            <w:tcBorders>
              <w:top w:val="single" w:color="auto"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872E773">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岗位</w:t>
            </w:r>
          </w:p>
        </w:tc>
        <w:tc>
          <w:tcPr>
            <w:tcW w:w="3609" w:type="dxa"/>
            <w:tcBorders>
              <w:top w:val="single" w:color="auto"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B260EDA">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简介</w:t>
            </w: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2E14A693">
            <w:pPr>
              <w:jc w:val="center"/>
            </w:pPr>
          </w:p>
        </w:tc>
        <w:tc>
          <w:tcPr>
            <w:tcW w:w="1714"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69472619">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专业</w:t>
            </w:r>
          </w:p>
        </w:tc>
        <w:tc>
          <w:tcPr>
            <w:tcW w:w="1038"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698D7EF9">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学历</w:t>
            </w:r>
          </w:p>
        </w:tc>
        <w:tc>
          <w:tcPr>
            <w:tcW w:w="345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744CF3E4">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其他</w:t>
            </w:r>
          </w:p>
        </w:tc>
        <w:tc>
          <w:tcPr>
            <w:tcW w:w="1212" w:type="dxa"/>
            <w:vMerge w:val="continue"/>
            <w:tcBorders>
              <w:top w:val="single" w:color="auto" w:sz="4" w:space="0"/>
              <w:left w:val="single" w:color="auto" w:sz="4" w:space="0"/>
              <w:bottom w:val="single" w:color="auto" w:sz="4" w:space="0"/>
              <w:right w:val="single" w:color="auto" w:sz="4" w:space="0"/>
            </w:tcBorders>
            <w:vAlign w:val="center"/>
          </w:tcPr>
          <w:p w14:paraId="47355F13">
            <w:pPr>
              <w:jc w:val="center"/>
            </w:pPr>
          </w:p>
        </w:tc>
      </w:tr>
      <w:tr w14:paraId="3FA2FFA5">
        <w:tblPrEx>
          <w:tblCellMar>
            <w:top w:w="0" w:type="dxa"/>
            <w:left w:w="0" w:type="dxa"/>
            <w:bottom w:w="0" w:type="dxa"/>
            <w:right w:w="0" w:type="dxa"/>
          </w:tblCellMar>
        </w:tblPrEx>
        <w:trPr>
          <w:trHeight w:val="635"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7462168E">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消防车驾驶员</w:t>
            </w:r>
          </w:p>
        </w:tc>
        <w:tc>
          <w:tcPr>
            <w:tcW w:w="3609" w:type="dxa"/>
            <w:tcBorders>
              <w:top w:val="single" w:color="000000" w:sz="4" w:space="0"/>
              <w:left w:val="single" w:color="000000" w:sz="4" w:space="0"/>
              <w:bottom w:val="single" w:color="000000" w:sz="4" w:space="0"/>
              <w:right w:val="single" w:color="auto" w:sz="4" w:space="0"/>
            </w:tcBorders>
            <w:tcMar>
              <w:top w:w="12" w:type="dxa"/>
              <w:left w:w="12" w:type="dxa"/>
              <w:bottom w:w="0" w:type="dxa"/>
              <w:right w:w="12" w:type="dxa"/>
            </w:tcMar>
            <w:vAlign w:val="center"/>
          </w:tcPr>
          <w:p w14:paraId="7208463C">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（一）熟练掌握驾驶技术，掌握所驾车辆构造及车载固定装备的技术性能和安全操作方法，能排除一般故障；</w:t>
            </w:r>
          </w:p>
          <w:p w14:paraId="427B675B">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（二）负责车辆和车载固定灭火救援设备的维护保养，每天早、晚和交接班时对车辆性能进行检查，及时补充车辆的油、水、电、气、灭火剂，保持车况处于良好战备状态；</w:t>
            </w:r>
          </w:p>
          <w:p w14:paraId="1338D5C5">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（三）严格遵守《中华人民共和国道路交通安全法》和单位车辆管理规定，严格执行车辆安全操作规程，养成良好的驾驶习惯，文明驾驶、规范行车，确保行车安全；</w:t>
            </w:r>
          </w:p>
          <w:p w14:paraId="066D9387">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（四）熟悉辖区及周边交通道路、消防水源、防消联勤联动单位和消防重点单位等有关情况。</w:t>
            </w:r>
          </w:p>
        </w:tc>
        <w:tc>
          <w:tcPr>
            <w:tcW w:w="987"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4C154EC">
            <w:pPr>
              <w:widowControl/>
              <w:jc w:val="center"/>
              <w:textAlignment w:val="center"/>
              <w:rPr>
                <w:rFonts w:hint="default"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10</w:t>
            </w:r>
          </w:p>
        </w:tc>
        <w:tc>
          <w:tcPr>
            <w:tcW w:w="171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77E3A205">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不</w:t>
            </w:r>
            <w:r>
              <w:rPr>
                <w:rFonts w:hint="eastAsia" w:ascii="Times New Roman" w:hAnsi="Times New Roman" w:eastAsia="方正仿宋_GBK"/>
                <w:color w:val="000000"/>
                <w:kern w:val="0"/>
                <w:szCs w:val="21"/>
                <w:lang w:bidi="ar"/>
              </w:rPr>
              <w:t>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72CB942C">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高中及以上</w:t>
            </w:r>
          </w:p>
        </w:tc>
        <w:tc>
          <w:tcPr>
            <w:tcW w:w="345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bottom w:w="0" w:type="dxa"/>
              <w:right w:w="12" w:type="dxa"/>
            </w:tcMar>
            <w:vAlign w:val="center"/>
          </w:tcPr>
          <w:p w14:paraId="3C7B89A3">
            <w:pPr>
              <w:widowControl/>
              <w:jc w:val="left"/>
              <w:textAlignment w:val="center"/>
              <w:rPr>
                <w:rFonts w:hint="eastAsia" w:ascii="Times New Roman" w:hAnsi="Times New Roman" w:eastAsia="方正仿宋_GBK"/>
                <w:color w:val="000000"/>
                <w:szCs w:val="21"/>
              </w:rPr>
            </w:pPr>
            <w:r>
              <w:rPr>
                <w:rFonts w:ascii="Times New Roman" w:hAnsi="Times New Roman" w:eastAsia="方正仿宋_GBK"/>
                <w:color w:val="000000"/>
                <w:szCs w:val="21"/>
              </w:rPr>
              <w:t>建议</w:t>
            </w:r>
            <w:r>
              <w:rPr>
                <w:rFonts w:hint="eastAsia" w:ascii="Times New Roman" w:hAnsi="Times New Roman" w:eastAsia="方正仿宋_GBK"/>
                <w:color w:val="000000"/>
                <w:szCs w:val="21"/>
              </w:rPr>
              <w:t>为</w:t>
            </w:r>
            <w:r>
              <w:rPr>
                <w:rFonts w:ascii="Times New Roman" w:hAnsi="Times New Roman" w:eastAsia="方正仿宋_GBK"/>
                <w:color w:val="000000"/>
                <w:szCs w:val="21"/>
              </w:rPr>
              <w:t>男性，年龄为18至3</w:t>
            </w:r>
            <w:r>
              <w:rPr>
                <w:rFonts w:hint="eastAsia" w:ascii="Times New Roman" w:hAnsi="Times New Roman" w:eastAsia="方正仿宋_GBK"/>
                <w:color w:val="000000"/>
                <w:szCs w:val="21"/>
                <w:lang w:val="en-US" w:eastAsia="zh-CN"/>
              </w:rPr>
              <w:t>5</w:t>
            </w:r>
            <w:r>
              <w:rPr>
                <w:rFonts w:ascii="Times New Roman" w:hAnsi="Times New Roman" w:eastAsia="方正仿宋_GBK"/>
                <w:color w:val="000000"/>
                <w:szCs w:val="21"/>
              </w:rPr>
              <w:t>周岁之间</w:t>
            </w:r>
            <w:r>
              <w:rPr>
                <w:rFonts w:hint="eastAsia" w:ascii="Times New Roman" w:hAnsi="Times New Roman" w:eastAsia="方正仿宋_GBK"/>
                <w:color w:val="000000"/>
                <w:szCs w:val="21"/>
              </w:rPr>
              <w:t>，持有</w:t>
            </w:r>
            <w:r>
              <w:rPr>
                <w:rFonts w:ascii="Times New Roman" w:hAnsi="Times New Roman" w:eastAsia="方正仿宋_GBK"/>
                <w:color w:val="000000"/>
                <w:szCs w:val="21"/>
              </w:rPr>
              <w:t>B2</w:t>
            </w:r>
            <w:r>
              <w:rPr>
                <w:rFonts w:hint="eastAsia" w:ascii="Times New Roman" w:hAnsi="Times New Roman" w:eastAsia="方正仿宋_GBK"/>
                <w:color w:val="000000"/>
                <w:szCs w:val="21"/>
              </w:rPr>
              <w:t>以上驾驶证，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31AFC846">
            <w:pPr>
              <w:jc w:val="center"/>
              <w:rPr>
                <w:rFonts w:ascii="Times New Roman" w:hAnsi="Times New Roman" w:eastAsia="方正仿宋_GBK"/>
                <w:color w:val="000000"/>
                <w:szCs w:val="21"/>
              </w:rPr>
            </w:pPr>
            <w:r>
              <w:rPr>
                <w:rFonts w:ascii="Times New Roman" w:hAnsi="Times New Roman" w:eastAsia="方正仿宋_GBK"/>
                <w:color w:val="000000"/>
                <w:sz w:val="18"/>
                <w:szCs w:val="18"/>
              </w:rPr>
              <w:t>022-</w:t>
            </w:r>
            <w:r>
              <w:rPr>
                <w:rFonts w:hint="eastAsia" w:ascii="Times New Roman" w:hAnsi="Times New Roman" w:eastAsia="方正仿宋_GBK"/>
                <w:color w:val="000000"/>
                <w:sz w:val="18"/>
                <w:szCs w:val="18"/>
                <w:lang w:val="en-US" w:eastAsia="zh-CN"/>
              </w:rPr>
              <w:t>28393189转8302</w:t>
            </w:r>
          </w:p>
        </w:tc>
      </w:tr>
    </w:tbl>
    <w:p w14:paraId="0C970A6D">
      <w:pPr>
        <w:rPr>
          <w:rFonts w:hint="eastAsia"/>
        </w:rPr>
      </w:pPr>
    </w:p>
    <w:sectPr>
      <w:footerReference r:id="rId4" w:type="default"/>
      <w:pgSz w:w="16838" w:h="11906" w:orient="landscape"/>
      <w:pgMar w:top="1587" w:right="2098" w:bottom="1474" w:left="1984"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13FB">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918FD">
                          <w:pPr>
                            <w:pStyle w:val="3"/>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918FD">
                    <w:pPr>
                      <w:pStyle w:val="3"/>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4AEC">
    <w:pPr>
      <w:pStyle w:val="3"/>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5668E">
                          <w:pPr>
                            <w:pStyle w:val="3"/>
                            <w:jc w:val="center"/>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75668E">
                    <w:pPr>
                      <w:pStyle w:val="3"/>
                      <w:jc w:val="center"/>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0962F024">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A2ZDAyNThjMTFkZTkwMmFlMzE4ODBlMzc2MmUifQ=="/>
  </w:docVars>
  <w:rsids>
    <w:rsidRoot w:val="6226203A"/>
    <w:rsid w:val="00397799"/>
    <w:rsid w:val="00784379"/>
    <w:rsid w:val="00B833AD"/>
    <w:rsid w:val="00CD2A59"/>
    <w:rsid w:val="00EC30A3"/>
    <w:rsid w:val="1C6E6C61"/>
    <w:rsid w:val="1FFF98E5"/>
    <w:rsid w:val="20441224"/>
    <w:rsid w:val="23E72DA1"/>
    <w:rsid w:val="2C7EE526"/>
    <w:rsid w:val="3BFDEE78"/>
    <w:rsid w:val="3D644E02"/>
    <w:rsid w:val="3D7B4E3C"/>
    <w:rsid w:val="3FEAAD96"/>
    <w:rsid w:val="3FFEDD90"/>
    <w:rsid w:val="447F3BC6"/>
    <w:rsid w:val="44CFB57D"/>
    <w:rsid w:val="4B817D62"/>
    <w:rsid w:val="5AF712E4"/>
    <w:rsid w:val="5FFE0187"/>
    <w:rsid w:val="6226203A"/>
    <w:rsid w:val="657E389F"/>
    <w:rsid w:val="6E7B2E75"/>
    <w:rsid w:val="756DCD78"/>
    <w:rsid w:val="75EB68E6"/>
    <w:rsid w:val="79EB37B0"/>
    <w:rsid w:val="7ABF1887"/>
    <w:rsid w:val="7AFF204C"/>
    <w:rsid w:val="7D980506"/>
    <w:rsid w:val="7DBBA904"/>
    <w:rsid w:val="7DF77BE5"/>
    <w:rsid w:val="7E7E26B9"/>
    <w:rsid w:val="7FBBC3C8"/>
    <w:rsid w:val="7FE5169F"/>
    <w:rsid w:val="7FEFB837"/>
    <w:rsid w:val="8ACFEE72"/>
    <w:rsid w:val="93DFE409"/>
    <w:rsid w:val="97553938"/>
    <w:rsid w:val="9DDE7E39"/>
    <w:rsid w:val="9EAE51E5"/>
    <w:rsid w:val="B7FF44CB"/>
    <w:rsid w:val="BDFD97DB"/>
    <w:rsid w:val="BFBF6962"/>
    <w:rsid w:val="BFF5A7E8"/>
    <w:rsid w:val="DEFF8E43"/>
    <w:rsid w:val="E6F7FF40"/>
    <w:rsid w:val="EDFDC79B"/>
    <w:rsid w:val="FCDE1177"/>
    <w:rsid w:val="FDFEE3B6"/>
    <w:rsid w:val="FF6716B7"/>
    <w:rsid w:val="FF764700"/>
    <w:rsid w:val="FFFD9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360" w:lineRule="auto"/>
    </w:pPr>
    <w:rPr>
      <w:rFonts w:ascii="Calibri" w:hAnsi="Calibri" w:eastAsia="黑体"/>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after="120"/>
      <w:ind w:left="420" w:leftChars="200"/>
      <w:textAlignment w:val="baseline"/>
    </w:pPr>
    <w:rPr>
      <w:rFonts w:ascii="Calibri" w:hAnsi="Calibri" w:eastAsia="宋体"/>
    </w:rPr>
  </w:style>
  <w:style w:type="paragraph" w:customStyle="1" w:styleId="11">
    <w:name w:val="NormalIndent"/>
    <w:basedOn w:val="1"/>
    <w:qFormat/>
    <w:uiPriority w:val="0"/>
    <w:pPr>
      <w:ind w:firstLine="420" w:firstLineChars="200"/>
      <w:textAlignment w:val="baseline"/>
    </w:pPr>
    <w:rPr>
      <w:rFonts w:ascii="Calibri" w:hAnsi="Calibri" w:eastAsia="仿宋"/>
      <w:sz w:val="32"/>
      <w:szCs w:val="24"/>
    </w:rPr>
  </w:style>
  <w:style w:type="paragraph" w:customStyle="1" w:styleId="1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830</Words>
  <Characters>865</Characters>
  <Lines>49</Lines>
  <Paragraphs>46</Paragraphs>
  <TotalTime>40</TotalTime>
  <ScaleCrop>false</ScaleCrop>
  <LinksUpToDate>false</LinksUpToDate>
  <CharactersWithSpaces>876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2025-07-19T06:08:00Z</dcterms:created>
  <dc:creator>糖酥酥</dc:creator>
  <cp:lastModifiedBy>彼时年少丶</cp:lastModifiedBy>
  <cp:lastPrinted>2026-04-01T23:04:00Z</cp:lastPrinted>
  <dcterms:modified xsi:type="dcterms:W3CDTF">2026-05-12T05:38:16Z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ECD17BADF1C247DBAF6CA9DD66B38526_13</vt:lpwstr>
  </property>
  <property fmtid="{D5CDD505-2E9C-101B-9397-08002B2CF9AE}" pid="4" name="KSOTemplateDocerSaveRecord">
    <vt:lpwstr>eyJoZGlkIjoiMjYwMzBjZTNjZjgzZDU3MzJkYzY3M2Y1ZjUyOGJlM2IiLCJ1c2VySWQiOiIyNjE4OTMzMDMifQ==</vt:lpwstr>
  </property>
</Properties>
</file>