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EBB086">
      <w:pPr>
        <w:jc w:val="center"/>
        <w:rPr>
          <w:rFonts w:ascii="方正小标宋简体" w:hAnsi="方正小标宋简体" w:eastAsia="方正小标宋简体" w:cs="方正小标宋简体"/>
          <w:sz w:val="30"/>
          <w:szCs w:val="30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30"/>
          <w:szCs w:val="30"/>
          <w:lang w:val="en-US" w:eastAsia="zh-CN"/>
        </w:rPr>
        <w:t>中煤</w:t>
      </w:r>
      <w:r>
        <w:rPr>
          <w:rFonts w:hint="eastAsia" w:ascii="方正小标宋简体" w:hAnsi="方正小标宋简体" w:eastAsia="方正小标宋简体" w:cs="方正小标宋简体"/>
          <w:sz w:val="30"/>
          <w:szCs w:val="30"/>
          <w:lang w:val="en-US" w:eastAsia="zh-CN"/>
        </w:rPr>
        <w:t>（北京）</w:t>
      </w:r>
      <w:r>
        <w:rPr>
          <w:rFonts w:hint="eastAsia" w:ascii="方正小标宋简体" w:hAnsi="方正小标宋简体" w:eastAsia="方正小标宋简体" w:cs="方正小标宋简体"/>
          <w:sz w:val="30"/>
          <w:szCs w:val="30"/>
          <w:lang w:val="en-US" w:eastAsia="zh-CN"/>
        </w:rPr>
        <w:t>私募基金管理有限公司</w:t>
      </w:r>
      <w:r>
        <w:rPr>
          <w:rFonts w:hint="eastAsia" w:ascii="方正小标宋简体" w:hAnsi="方正小标宋简体" w:eastAsia="方正小标宋简体" w:cs="方正小标宋简体"/>
          <w:sz w:val="30"/>
          <w:szCs w:val="30"/>
        </w:rPr>
        <w:t>公</w:t>
      </w:r>
      <w:bookmarkEnd w:id="0"/>
      <w:r>
        <w:rPr>
          <w:rFonts w:hint="eastAsia" w:ascii="方正小标宋简体" w:hAnsi="方正小标宋简体" w:eastAsia="方正小标宋简体" w:cs="方正小标宋简体"/>
          <w:sz w:val="30"/>
          <w:szCs w:val="30"/>
        </w:rPr>
        <w:t>开招聘岗位任职资格及岗位职责</w:t>
      </w:r>
    </w:p>
    <w:tbl>
      <w:tblPr>
        <w:tblStyle w:val="3"/>
        <w:tblW w:w="142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7"/>
        <w:gridCol w:w="1200"/>
        <w:gridCol w:w="1350"/>
        <w:gridCol w:w="681"/>
        <w:gridCol w:w="955"/>
        <w:gridCol w:w="5332"/>
        <w:gridCol w:w="4091"/>
      </w:tblGrid>
      <w:tr w14:paraId="2A4FEA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7" w:type="dxa"/>
            <w:vAlign w:val="center"/>
          </w:tcPr>
          <w:p w14:paraId="2F02D441">
            <w:pPr>
              <w:widowControl/>
              <w:jc w:val="center"/>
              <w:textAlignment w:val="center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200" w:type="dxa"/>
            <w:vAlign w:val="center"/>
          </w:tcPr>
          <w:p w14:paraId="39F66141">
            <w:pPr>
              <w:widowControl/>
              <w:jc w:val="center"/>
              <w:textAlignment w:val="center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18"/>
                <w:szCs w:val="18"/>
                <w:lang w:bidi="ar"/>
              </w:rPr>
              <w:t>部门</w:t>
            </w:r>
          </w:p>
        </w:tc>
        <w:tc>
          <w:tcPr>
            <w:tcW w:w="1350" w:type="dxa"/>
            <w:vAlign w:val="center"/>
          </w:tcPr>
          <w:p w14:paraId="1BF6AD6C">
            <w:pPr>
              <w:widowControl/>
              <w:jc w:val="center"/>
              <w:textAlignment w:val="center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18"/>
                <w:szCs w:val="18"/>
                <w:lang w:bidi="ar"/>
              </w:rPr>
              <w:t>岗位</w:t>
            </w:r>
          </w:p>
        </w:tc>
        <w:tc>
          <w:tcPr>
            <w:tcW w:w="681" w:type="dxa"/>
            <w:vAlign w:val="center"/>
          </w:tcPr>
          <w:p w14:paraId="1FCB1FF9">
            <w:pPr>
              <w:widowControl/>
              <w:jc w:val="center"/>
              <w:textAlignment w:val="center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18"/>
                <w:szCs w:val="18"/>
                <w:lang w:bidi="ar"/>
              </w:rPr>
              <w:t>人数</w:t>
            </w:r>
          </w:p>
        </w:tc>
        <w:tc>
          <w:tcPr>
            <w:tcW w:w="955" w:type="dxa"/>
            <w:vAlign w:val="center"/>
          </w:tcPr>
          <w:p w14:paraId="67797BA3">
            <w:pPr>
              <w:widowControl/>
              <w:jc w:val="center"/>
              <w:textAlignment w:val="center"/>
              <w:rPr>
                <w:rFonts w:ascii="黑体" w:hAnsi="黑体" w:eastAsia="黑体" w:cs="黑体"/>
                <w:sz w:val="18"/>
                <w:szCs w:val="18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18"/>
                <w:szCs w:val="18"/>
                <w:lang w:bidi="ar"/>
              </w:rPr>
              <w:t>招聘范围</w:t>
            </w:r>
          </w:p>
        </w:tc>
        <w:tc>
          <w:tcPr>
            <w:tcW w:w="5332" w:type="dxa"/>
            <w:vAlign w:val="center"/>
          </w:tcPr>
          <w:p w14:paraId="7B96A0E7">
            <w:pPr>
              <w:widowControl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18"/>
                <w:szCs w:val="18"/>
                <w:lang w:bidi="ar"/>
              </w:rPr>
              <w:t>任职资格</w:t>
            </w:r>
          </w:p>
        </w:tc>
        <w:tc>
          <w:tcPr>
            <w:tcW w:w="4091" w:type="dxa"/>
            <w:vAlign w:val="center"/>
          </w:tcPr>
          <w:p w14:paraId="1D64F8A9">
            <w:pPr>
              <w:widowControl/>
              <w:jc w:val="center"/>
              <w:textAlignment w:val="center"/>
              <w:rPr>
                <w:rFonts w:ascii="黑体" w:hAnsi="黑体" w:eastAsia="黑体" w:cs="黑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kern w:val="0"/>
                <w:sz w:val="18"/>
                <w:szCs w:val="18"/>
                <w:lang w:bidi="ar"/>
              </w:rPr>
              <w:t>岗位主要职责</w:t>
            </w:r>
          </w:p>
        </w:tc>
      </w:tr>
      <w:tr w14:paraId="55C02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17" w:type="dxa"/>
            <w:vAlign w:val="center"/>
          </w:tcPr>
          <w:p w14:paraId="37C30804">
            <w:pPr>
              <w:spacing w:line="240" w:lineRule="atLeast"/>
              <w:jc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sz w:val="18"/>
                <w:szCs w:val="18"/>
              </w:rPr>
              <w:t>1</w:t>
            </w:r>
          </w:p>
        </w:tc>
        <w:tc>
          <w:tcPr>
            <w:tcW w:w="1200" w:type="dxa"/>
            <w:vAlign w:val="center"/>
          </w:tcPr>
          <w:p w14:paraId="6A446A9A">
            <w:pPr>
              <w:widowControl/>
              <w:spacing w:line="240" w:lineRule="atLeast"/>
              <w:jc w:val="center"/>
              <w:textAlignment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投资管理部</w:t>
            </w:r>
          </w:p>
        </w:tc>
        <w:tc>
          <w:tcPr>
            <w:tcW w:w="1350" w:type="dxa"/>
            <w:vAlign w:val="center"/>
          </w:tcPr>
          <w:p w14:paraId="22941D04">
            <w:pPr>
              <w:widowControl/>
              <w:spacing w:line="240" w:lineRule="atLeast"/>
              <w:jc w:val="center"/>
              <w:textAlignment w:val="center"/>
              <w:rPr>
                <w:rFonts w:ascii="Times New Roman" w:hAnsi="Times New Roman" w:eastAsia="宋体" w:cs="Times New Roman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总经理</w:t>
            </w:r>
          </w:p>
        </w:tc>
        <w:tc>
          <w:tcPr>
            <w:tcW w:w="681" w:type="dxa"/>
            <w:vAlign w:val="center"/>
          </w:tcPr>
          <w:p w14:paraId="0FB1ABF1">
            <w:pPr>
              <w:widowControl/>
              <w:spacing w:line="240" w:lineRule="atLeas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55" w:type="dxa"/>
            <w:vAlign w:val="center"/>
          </w:tcPr>
          <w:p w14:paraId="680977D6">
            <w:pPr>
              <w:widowControl/>
              <w:spacing w:line="240" w:lineRule="atLeas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面向社会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val="en-US" w:eastAsia="zh-CN" w:bidi="ar"/>
              </w:rPr>
              <w:t>及中国中煤内部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公开招聘</w:t>
            </w:r>
          </w:p>
        </w:tc>
        <w:tc>
          <w:tcPr>
            <w:tcW w:w="5332" w:type="dxa"/>
            <w:vAlign w:val="center"/>
          </w:tcPr>
          <w:p w14:paraId="27919763">
            <w:pPr>
              <w:widowControl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1.硕士研究生及以上学历，金融、经济、管理、理工类（能源、化工、集成电路、机械及自动化、计算机、通信工程、新能源、新材料等）等相关专业；理工科专业背景或复合背景优先；</w:t>
            </w:r>
            <w:r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境外学历需完成教育部留学服务中心认证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；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2.具有8年及以上私募股权或券商投行相关工作经验，含5年以上团队或部门管理经验，且能提供相应证明材料；央企、国企、大型金融机构从业背景优先；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3.近10年主导2起以上未上市企业股权投资，合计金额不低于3000万元且至少1起成功退出，且能提供相应证明材料；有私募机构从业背景者，原机构管理规模不低于1亿元；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4.精通项目尽调、交易结构设计、投后管理全流程，具备煤电化新产业链或战新产业投资经验者优先；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5.须持有基金从业资格证，持有CFA、CPA或法律职业资格证（A类）者优先；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6.无重大违法违规及失信记录，符合私募基金行业监管及央企国资要求的任职条件；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7.近五年未从事与私募基金管理相冲突的业务；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8.年龄45周岁及以下，特别优秀者可适当放宽，中共党员优先。</w:t>
            </w:r>
          </w:p>
        </w:tc>
        <w:tc>
          <w:tcPr>
            <w:tcW w:w="4091" w:type="dxa"/>
            <w:vAlign w:val="center"/>
          </w:tcPr>
          <w:p w14:paraId="34274179">
            <w:pPr>
              <w:widowControl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1.统筹公司股权投资业务布局，制定并落地煤电化新产业链、战新产业的投资战略与年度投资计划；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2.带队挖掘优质未上市企业投资项目，主导项目尽调、交易结构设计、谈判及投决全流程，严格落实国资投资合规程序，推动项目通过投委会决策及落地；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3.负责投资团队的组建、管理与培养，制定团队考核与激励机制，提升团队专业能力与工作效率；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4.统筹投后管理工作，跟踪被投企业经营发展与合规情况，推动投后增值服务落地，制定并执行项目退出策略，确保国有资产保值增值与合规退出；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br w:type="textWrapping"/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 w:val="18"/>
                <w:szCs w:val="18"/>
                <w:lang w:bidi="ar"/>
              </w:rPr>
              <w:t>5.维护行业内优质资源，搭建政企、金融机构、被投企业等多方合作渠道，保障投资业务顺利开展。</w:t>
            </w:r>
          </w:p>
        </w:tc>
      </w:tr>
    </w:tbl>
    <w:p w14:paraId="4248D3FE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7F3998"/>
    <w:rsid w:val="1B7F3998"/>
    <w:rsid w:val="371052AD"/>
    <w:rsid w:val="459C7F45"/>
    <w:rsid w:val="4B504A51"/>
    <w:rsid w:val="59BC407B"/>
    <w:rsid w:val="655E3069"/>
    <w:rsid w:val="716E3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748</Words>
  <Characters>770</Characters>
  <Lines>0</Lines>
  <Paragraphs>0</Paragraphs>
  <TotalTime>0</TotalTime>
  <ScaleCrop>false</ScaleCrop>
  <LinksUpToDate>false</LinksUpToDate>
  <CharactersWithSpaces>770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2026-10-14T08:58:00Z</dcterms:created>
  <dc:creator> </dc:creator>
  <cp:lastModifiedBy> </cp:lastModifiedBy>
  <dcterms:modified xsi:type="dcterms:W3CDTF">2026-10-14T09:04:50Z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1B400EEFFC88479A8F67B9AA866E4698_11</vt:lpwstr>
  </property>
  <property fmtid="{D5CDD505-2E9C-101B-9397-08002B2CF9AE}" pid="4" name="KSOTemplateDocerSaveRecord">
    <vt:lpwstr>eyJoZGlkIjoiM2E2ODEwNjYxMDlhMzEwNTI1YjAzOWI4NTk3YjRkOTMiLCJ1c2VySWQiOiIyMjg2MDM5NjMifQ==</vt:lpwstr>
  </property>
</Properties>
</file>