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D6367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公安机关录用人民警察体能测评项目和标准</w:t>
      </w:r>
    </w:p>
    <w:p w14:paraId="2F6A37DF">
      <w:pPr>
        <w:spacing w:before="100" w:beforeAutospacing="1" w:after="100" w:afterAutospacing="1" w:line="40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（一）男子组</w:t>
      </w:r>
    </w:p>
    <w:tbl>
      <w:tblPr>
        <w:tblStyle w:val="5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0261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E65CA5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6EE710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024DAC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292053"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8EFDB4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ACB1A9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6A6114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4077B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F09E1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2BDBFF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　≤13″4</w:t>
            </w:r>
          </w:p>
        </w:tc>
      </w:tr>
      <w:tr w14:paraId="7575A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8C59A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9D0637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5768E8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　≤4′35″</w:t>
            </w:r>
          </w:p>
        </w:tc>
      </w:tr>
      <w:tr w14:paraId="0150D8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705F68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F88F8F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</w:tbl>
    <w:p w14:paraId="51CE0559">
      <w:pPr>
        <w:spacing w:before="100" w:beforeAutospacing="1" w:after="100" w:afterAutospacing="1" w:line="40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（二）女子组</w:t>
      </w:r>
    </w:p>
    <w:tbl>
      <w:tblPr>
        <w:tblStyle w:val="5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7605D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2B0FBC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5BDA55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 准</w:t>
            </w:r>
          </w:p>
        </w:tc>
      </w:tr>
      <w:tr w14:paraId="3DD94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514BB">
            <w:pP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0CD502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C3AC52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6DB0E4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483903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D776E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FB3137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 w14:paraId="6FB90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D1973E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2215E3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15DADF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 w14:paraId="3B1A5E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87CB9A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95D72C"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 w14:paraId="171EAD1A">
      <w:pPr>
        <w:pStyle w:val="4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备注：男子1000米跑、女子800米跑项目的测评次数为1次，10米×4往返跑项目测评次数为不超过2次，纵跳摸高的测评次数为不超过3次。</w:t>
      </w:r>
    </w:p>
    <w:p w14:paraId="4280F4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2025-11-11T03:01:03Z</dcterms:created>
  <dc:creator>tz</dc:creator>
  <cp:lastModifiedBy>昭昭慕慕下</cp:lastModifiedBy>
  <dcterms:modified xsi:type="dcterms:W3CDTF">2025-11-11T03:01:14Z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4B15BD59B6B94627A82F2B396AF77778_12</vt:lpwstr>
  </property>
</Properties>
</file>