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240" w:lineRule="atLeast"/>
        <w:jc w:val="center"/>
        <w:rPr>
          <w:rFonts w:hint="default" w:ascii="仿宋_GB2312" w:eastAsia="仿宋_GB2312" w:cs="Times New Roman"/>
          <w:sz w:val="24"/>
          <w:lang w:val="en-US" w:eastAsia="zh-CN"/>
        </w:rPr>
      </w:pPr>
      <w:r>
        <w:rPr>
          <w:rFonts w:hint="eastAsia" w:ascii="微软雅黑" w:eastAsia="微软雅黑"/>
          <w:sz w:val="44"/>
          <w:szCs w:val="44"/>
          <w:lang w:val="en-US" w:eastAsia="zh-CN"/>
        </w:rPr>
        <w:t>招聘需求表</w:t>
      </w:r>
    </w:p>
    <w:tbl>
      <w:tblPr>
        <w:tblStyle w:val="2"/>
        <w:tblW w:w="1407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59"/>
        <w:gridCol w:w="1704"/>
        <w:gridCol w:w="778"/>
        <w:gridCol w:w="873"/>
        <w:gridCol w:w="6307"/>
        <w:gridCol w:w="23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3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部室/单位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岗位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val="en-US" w:eastAsia="zh-CN"/>
              </w:rPr>
              <w:t>招聘方式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val="en-US" w:eastAsia="zh-CN"/>
              </w:rPr>
              <w:t xml:space="preserve">拟招  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人数</w:t>
            </w:r>
          </w:p>
        </w:tc>
        <w:tc>
          <w:tcPr>
            <w:tcW w:w="630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岗位要求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  <w:t>党群工作部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  <w:t>综合管理岗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  <w:t>社招+  校招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35周岁及以下，中共党员，中文类、新闻类、管理类等相关专业，能够独立撰写党建或综合类文稿，适应高强度工作岗位需要，具有较强的学习能力、沟通能力和组织协调能力。其中，社招人员需全日制本科及以上学历，具有2年及以上党政机关、事业单位、国有企业综合文字岗位工作经验；校招人员需研究生及以上学历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both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科技集团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长三角招商引才公司招商部管理岗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社会</w:t>
            </w:r>
          </w:p>
          <w:p>
            <w:pPr>
              <w:spacing w:line="240" w:lineRule="atLeast"/>
              <w:jc w:val="center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40周岁及以下，本科及以上学历，经济学、机械工程、材料工程、电子工程等相关专业，具备市场调研及分析能力，有较好的文字功底，有一定的招商工作经历。有机关事业单位、军工央（国）企及下属机构招商工作经历的可适当放宽条件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both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1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下属公司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经营班子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40周岁及以下，本科及以上学历，市场营销、电子商务、工商管理等相关专业，具备5年以上政府招商引资或工业企业销售管理经验，具有较强的商业谈判、市场分析、资源整合、跨部门协作能力，责任心强、有一定抗压能力。具备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3年以上企业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经营班子管理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经验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者可适当放宽条件。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both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建设集团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部门/下属子公司工程岗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35周岁以下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，全日制本科及以上学历，土木工程类（建筑工程方向）、工程管理类（建设工程管理方向）等相关专业，具有3年及以上工程管理或施工企业工作经验，工程管理类中级及以上职称或相应的国家注册执业资格，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有一定的英语专业能力（雅思成绩6分以上，或托福80分以上，或CET6级500分以上），</w:t>
            </w:r>
            <w:r>
              <w:rPr>
                <w:rFonts w:hint="eastAsia" w:ascii="仿宋_GB2312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可接受派驻海外工作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。具有海外工程建设类项目工作经验的可适当放宽条件。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湖州创投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基金岗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35周岁及以下，全日制硕士研究生及以上学历，经济学、金融学、会计学、管理学等相关专业，具有2年及以上相关工作经验，有复合学历背景优先。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6</w:t>
            </w:r>
          </w:p>
        </w:tc>
        <w:tc>
          <w:tcPr>
            <w:tcW w:w="1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校园招聘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全日制研究生及以上学历，经济学、金融学、市场学、会计学、管理学等相关专业。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both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7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飞英融租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飞英融租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240" w:lineRule="atLeast"/>
              <w:jc w:val="both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cs="宋体" w:hAnsiTheme="minorHAnsi" w:eastAsiaTheme="minorEastAsia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融资总监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40周岁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及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以下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全日制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本科及以上学历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金融、财务、法律、经济等相关专业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，具有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5年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及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以上金融行业（租赁、基金、证券、信托等）融资相关工作经验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具有成熟的大型项目融资经验；具有良好的融资分析能力和判断能力，有较强的</w:t>
            </w:r>
            <w:bookmarkStart w:id="0" w:name="_GoBack"/>
            <w:bookmarkEnd w:id="0"/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谈判技能，具备良好的沟通能力；良好的职业操守及品质，较强的带领团队能力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。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特别优秀者可适当放宽条件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8</w:t>
            </w:r>
          </w:p>
        </w:tc>
        <w:tc>
          <w:tcPr>
            <w:tcW w:w="1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cs="宋体" w:hAnsiTheme="minorHAnsi" w:eastAsiaTheme="minorEastAsia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  <w:t>业务副经理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40周岁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及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以下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全日制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本科及以上学历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金融、</w:t>
            </w:r>
            <w:r>
              <w:rPr>
                <w:rFonts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财务、法律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等相关</w:t>
            </w:r>
            <w:r>
              <w:rPr>
                <w:rFonts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具有2年及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以上类金融机构从业经验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特别优秀者可适当放宽条件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9</w:t>
            </w:r>
          </w:p>
        </w:tc>
        <w:tc>
          <w:tcPr>
            <w:tcW w:w="1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cs="宋体" w:hAnsiTheme="minorHAnsi" w:eastAsiaTheme="minorEastAsia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业务总监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40周岁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及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以下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全日制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本科及以上学历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金融、法律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、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经济、财务相关专业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，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具有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3年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及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以上融资租赁公司、全国性股份制银行或其他类金融机构对公业务从业经验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，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较强的业务创新、市场拓展和组织协调能力，具备丰富的业务谈判经验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。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特别优秀者可适当放宽条件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10</w:t>
            </w:r>
          </w:p>
        </w:tc>
        <w:tc>
          <w:tcPr>
            <w:tcW w:w="1459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业务助理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hd w:val="clear" w:color="auto" w:fill="auto"/>
                <w:lang w:val="en-US" w:eastAsia="zh-CN"/>
              </w:rPr>
              <w:t>校园招聘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全日制研究生及以上学历，</w:t>
            </w:r>
            <w:r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eastAsia="zh-CN" w:bidi="ar-SA"/>
              </w:rPr>
              <w:t>金融、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经济、财务、法律等相关专业。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both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两山生态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绿色能源事业部副经理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40周岁及以下，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全日制本科及以上学历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能源与动力工程、储能工程与科学等能源类、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电气工程及其自动化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具有3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年及以上能源或电力行业从业经历，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主持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能源项目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市场分析及计划落实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能力。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电气工程师或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中级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以上职称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者可适当放宽条件。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tLeast"/>
              <w:jc w:val="both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12</w:t>
            </w:r>
          </w:p>
        </w:tc>
        <w:tc>
          <w:tcPr>
            <w:tcW w:w="14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项目工程师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40周岁及以下，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全日制本科及以上学历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土木工程、工程管理、城市规划、工程造价等工程类相关专业，具有2年以上工程管理或项目工程造价咨询工作相关从业经验。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具有中级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以上职称或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有造价证者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可适当放宽条件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13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南太湖资管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业务经理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theme="minorBidi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40周岁及以下，全日制本科及以上学历，金融、财务、经济等相关专业，具有5年及以上金融行业工作经历，或现任银行、证券、基金、资产公司等机构部门经理级别以上且具有2年及以上业务团队管理经验，有一定特殊资产业务领域客户资源，具备业务拓展、统筹及综合分析能力和良好的谈判技巧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14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对外贸易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对外贸易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有色金属部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业务员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40周岁及以下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，本科及以上学历，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  <w:lang w:val="en-US" w:eastAsia="zh-CN"/>
              </w:rPr>
              <w:t>专业不限，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具有</w:t>
            </w:r>
            <w:r>
              <w:rPr>
                <w:rFonts w:ascii="仿宋_GB2312" w:eastAsia="仿宋_GB2312" w:cs="Times New Roman"/>
                <w:color w:val="auto"/>
                <w:sz w:val="24"/>
              </w:rPr>
              <w:t>3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年及以上大宗商品（有色金属行业）</w:t>
            </w:r>
            <w:r>
              <w:rPr>
                <w:rFonts w:ascii="仿宋_GB2312" w:eastAsia="仿宋_GB2312" w:cs="Times New Roman"/>
                <w:color w:val="auto"/>
                <w:sz w:val="24"/>
              </w:rPr>
              <w:t>采销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工作经验。英语六级及以上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优先考虑。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有稳定的上下游资源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有大型企业或国有平台相关工作经验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可适当放宽条件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。</w:t>
            </w: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4"/>
                <w:u w:val="single"/>
              </w:rPr>
              <w:t>用工形式为劳务派遣。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4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有色金属部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平台业务员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30周岁及以下</w:t>
            </w:r>
            <w:r>
              <w:rPr>
                <w:rFonts w:ascii="仿宋_GB2312" w:eastAsia="仿宋_GB2312" w:cs="Times New Roman"/>
                <w:color w:val="auto"/>
                <w:sz w:val="24"/>
              </w:rPr>
              <w:t>，全日制本科及以上学历，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金融、经济、贸易等相关专业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  <w:highlight w:val="none"/>
              </w:rPr>
              <w:t>具有2年及以上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  <w:highlight w:val="none"/>
                <w:lang w:val="en-US" w:eastAsia="zh-CN"/>
              </w:rPr>
              <w:t>为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  <w:highlight w:val="none"/>
              </w:rPr>
              <w:t>大型企业或国有平台提供金融或类金融服务的工作经验。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16</w:t>
            </w:r>
          </w:p>
        </w:tc>
        <w:tc>
          <w:tcPr>
            <w:tcW w:w="14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黑色业务部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员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40周岁及以下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，本科及以上学历，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  <w:lang w:val="en-US" w:eastAsia="zh-CN"/>
              </w:rPr>
              <w:t>专业不限，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具有</w:t>
            </w:r>
            <w:r>
              <w:rPr>
                <w:rFonts w:ascii="仿宋_GB2312" w:eastAsia="仿宋_GB2312" w:cs="Times New Roman"/>
                <w:color w:val="auto"/>
                <w:sz w:val="24"/>
              </w:rPr>
              <w:t>3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年及以上大宗商品（钢贸行业）业务岗或企业采购销售岗工作经验。英语六级及以上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优先考虑。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有稳定的上下游资源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、有大型企业或国有平台相关工作经验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可适当放宽条件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。</w:t>
            </w: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4"/>
                <w:u w:val="single"/>
              </w:rPr>
              <w:t>用工形式为劳务派遣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u w:val="single"/>
              </w:rPr>
              <w:t>。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17</w:t>
            </w:r>
          </w:p>
        </w:tc>
        <w:tc>
          <w:tcPr>
            <w:tcW w:w="14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运营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操作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35周岁及以下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，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研究生及以上学历，专业不限，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具有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年及以上内贸或外贸运营单证操作经验。具有上市公司或头部企业从业经验或大宗贸易运营经验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或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英语六级及以上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可适当放宽条件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。</w:t>
            </w: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4"/>
                <w:u w:val="single"/>
              </w:rPr>
              <w:t>用工形式为劳务派遣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u w:val="single"/>
              </w:rPr>
              <w:t>。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18</w:t>
            </w:r>
          </w:p>
        </w:tc>
        <w:tc>
          <w:tcPr>
            <w:tcW w:w="14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运营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操作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35周岁及以下，本科及以上学历，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专业不限，</w:t>
            </w: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具有2年及以上大宗贸易业务单证运营操作经验。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有大型企业或国有平台相关工作经验或</w:t>
            </w: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英语六级及以上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可适当放宽条件</w:t>
            </w: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。</w:t>
            </w: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4"/>
                <w:u w:val="single"/>
              </w:rPr>
              <w:t>用工形式为劳务派遣。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国投公司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出纳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30周岁及以下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，全日制本科及以上学历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会计、财务管理等相关专业。具有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年及以上出纳或会计工作经验，英语六级及以上。</w:t>
            </w:r>
            <w:r>
              <w:rPr>
                <w:rFonts w:ascii="仿宋_GB2312" w:eastAsia="仿宋_GB2312" w:cs="Times New Roman"/>
                <w:color w:val="auto"/>
                <w:sz w:val="24"/>
              </w:rPr>
              <w:t>有涉外财务经验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可适当放宽条件</w:t>
            </w:r>
            <w:r>
              <w:rPr>
                <w:rFonts w:ascii="仿宋_GB2312" w:eastAsia="仿宋_GB2312" w:cs="Times New Roman"/>
                <w:color w:val="auto"/>
                <w:sz w:val="24"/>
              </w:rPr>
              <w:t>。</w:t>
            </w:r>
          </w:p>
        </w:tc>
        <w:tc>
          <w:tcPr>
            <w:tcW w:w="2317" w:type="dxa"/>
            <w:vAlign w:val="center"/>
          </w:tcPr>
          <w:p>
            <w:pPr>
              <w:spacing w:line="240" w:lineRule="atLeast"/>
              <w:jc w:val="both"/>
              <w:rPr>
                <w:rFonts w:hint="default" w:ascii="仿宋_GB2312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国投公司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风险运营部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评审专员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35周岁及以下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全日制本科及以上学历，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财务、法律、金融、贸易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商务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等相关专业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具有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年及以上金融</w:t>
            </w:r>
            <w:r>
              <w:rPr>
                <w:rFonts w:ascii="仿宋_GB2312" w:eastAsia="仿宋_GB2312" w:cs="宋体"/>
                <w:bCs/>
                <w:color w:val="auto"/>
                <w:sz w:val="24"/>
              </w:rPr>
              <w:t>服务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或</w:t>
            </w:r>
            <w:r>
              <w:rPr>
                <w:rFonts w:ascii="仿宋_GB2312" w:eastAsia="仿宋_GB2312" w:cs="宋体"/>
                <w:bCs/>
                <w:color w:val="auto"/>
                <w:sz w:val="24"/>
              </w:rPr>
              <w:t>资产评估或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大宗贸易业务评审从业经验</w:t>
            </w:r>
            <w:r>
              <w:rPr>
                <w:rFonts w:ascii="仿宋_GB2312" w:eastAsia="仿宋_GB2312" w:cs="宋体"/>
                <w:bCs/>
                <w:color w:val="auto"/>
                <w:sz w:val="24"/>
              </w:rPr>
              <w:t>，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英语六级及以上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。具有金融机构对公管理或评审工作经验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可适当放宽条件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。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国投公司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有色金属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副经理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社会招聘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35周岁及以下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，全日制本科及以上学历，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  <w:lang w:val="en-US" w:eastAsia="zh-CN"/>
              </w:rPr>
              <w:t>专业不限，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具有5年及以上大宗商品（有色金属行业）业务岗或企业采购销售岗工作经验。英语六级及以上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优先考虑。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有稳定的上下游资源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可适当放宽条件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。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  <w:t>22</w:t>
            </w:r>
          </w:p>
        </w:tc>
        <w:tc>
          <w:tcPr>
            <w:tcW w:w="1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2"/>
                <w:lang w:val="en-US" w:eastAsia="zh-CN" w:bidi="ar-SA"/>
              </w:rPr>
              <w:t>国投公司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2"/>
                <w:lang w:val="en-US" w:eastAsia="zh-CN" w:bidi="ar-SA"/>
              </w:rPr>
              <w:t>海外投资部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2"/>
                <w:lang w:val="en-US" w:eastAsia="zh-CN" w:bidi="ar-SA"/>
              </w:rPr>
              <w:t>部员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trike w:val="0"/>
                <w:dstrike w:val="0"/>
                <w:color w:val="auto"/>
                <w:sz w:val="24"/>
                <w:lang w:val="en-US" w:eastAsia="zh-CN"/>
              </w:rPr>
              <w:t>校园招聘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trike w:val="0"/>
                <w:dstrike w:val="0"/>
                <w:color w:val="auto"/>
                <w:sz w:val="24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trike w:val="0"/>
                <w:dstrike w:val="0"/>
                <w:color w:val="auto"/>
                <w:kern w:val="2"/>
                <w:sz w:val="24"/>
                <w:szCs w:val="22"/>
                <w:lang w:val="en-US" w:eastAsia="zh-CN" w:bidi="ar-SA"/>
              </w:rPr>
              <w:t>30周岁及以下，全日制研究生及以上学历，国际贸易、工商管理、经济类等相关专业，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品学兼优</w:t>
            </w:r>
            <w:r>
              <w:rPr>
                <w:rFonts w:ascii="仿宋_GB2312" w:eastAsia="仿宋_GB2312" w:cs="Times New Roman"/>
                <w:color w:val="auto"/>
                <w:sz w:val="24"/>
              </w:rPr>
              <w:t>，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具备良好的</w:t>
            </w:r>
            <w:r>
              <w:rPr>
                <w:rFonts w:ascii="仿宋_GB2312" w:eastAsia="仿宋_GB2312" w:cs="Times New Roman"/>
                <w:color w:val="auto"/>
                <w:sz w:val="24"/>
              </w:rPr>
              <w:t>英语沟通能力，英语六级及以上或同等外语资格</w:t>
            </w:r>
            <w:r>
              <w:rPr>
                <w:rFonts w:hint="eastAsia" w:ascii="仿宋_GB2312" w:eastAsia="仿宋_GB2312" w:cs="Times New Roman"/>
                <w:color w:val="auto"/>
                <w:sz w:val="24"/>
              </w:rPr>
              <w:t>水平</w:t>
            </w:r>
            <w:r>
              <w:rPr>
                <w:rFonts w:ascii="仿宋_GB2312" w:eastAsia="仿宋_GB2312" w:cs="Times New Roman"/>
                <w:color w:val="auto"/>
                <w:sz w:val="24"/>
              </w:rPr>
              <w:t>。</w:t>
            </w:r>
            <w:r>
              <w:rPr>
                <w:rFonts w:ascii="仿宋_GB2312" w:eastAsia="仿宋_GB2312" w:cs="Times New Roman"/>
                <w:b/>
                <w:bCs/>
                <w:color w:val="auto"/>
                <w:sz w:val="24"/>
                <w:u w:val="single"/>
              </w:rPr>
              <w:t>可接受派驻海外</w:t>
            </w:r>
            <w:r>
              <w:rPr>
                <w:rFonts w:hint="eastAsia" w:ascii="仿宋_GB2312" w:eastAsia="仿宋_GB2312" w:cs="Times New Roman"/>
                <w:b/>
                <w:bCs/>
                <w:color w:val="auto"/>
                <w:sz w:val="24"/>
                <w:u w:val="single"/>
                <w:lang w:val="en-US" w:eastAsia="zh-CN"/>
              </w:rPr>
              <w:t>工作</w:t>
            </w:r>
            <w:r>
              <w:rPr>
                <w:rFonts w:ascii="仿宋_GB2312" w:eastAsia="仿宋_GB2312" w:cs="Times New Roman"/>
                <w:b/>
                <w:bCs/>
                <w:color w:val="auto"/>
                <w:sz w:val="24"/>
                <w:u w:val="single"/>
              </w:rPr>
              <w:t>。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831EC"/>
    <w:rsid w:val="18B6442B"/>
    <w:rsid w:val="4F2831EC"/>
    <w:rsid w:val="7ADC7DA0"/>
    <w:rsid w:val="FEF7D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0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2025-09-29T09:15:00Z</dcterms:created>
  <dc:creator>Janelle</dc:creator>
  <cp:lastModifiedBy>Janelle</cp:lastModifiedBy>
  <dcterms:modified xsi:type="dcterms:W3CDTF">2025-09-30T09:52:27Z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2CCB41FC17C6415994A63741942530AF_11</vt:lpwstr>
  </property>
  <property fmtid="{D5CDD505-2E9C-101B-9397-08002B2CF9AE}" pid="4" name="KSOTemplateDocerSaveRecord">
    <vt:lpwstr>eyJoZGlkIjoiNjBkY2RhNmE5YjQ1ZjY0YzU5YTRjYTRkNzE4MjVkYjQiLCJ1c2VySWQiOiIyNDQyNjUzNjkifQ==</vt:lpwstr>
  </property>
</Properties>
</file>