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</w:t>
      </w:r>
    </w:p>
    <w:p>
      <w:pPr>
        <w:spacing w:line="5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东莞市发展和改革局</w:t>
      </w:r>
      <w:r>
        <w:rPr>
          <w:rFonts w:ascii="Times New Roman" w:hAnsi="Times New Roman"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下</w:t>
      </w:r>
      <w:r>
        <w:rPr>
          <w:rFonts w:eastAsia="方正小标宋简体"/>
          <w:sz w:val="40"/>
          <w:szCs w:val="40"/>
        </w:rPr>
        <w:t>半年自主</w:t>
      </w:r>
      <w:r>
        <w:rPr>
          <w:rFonts w:hint="eastAsia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公开</w:t>
      </w:r>
      <w:r>
        <w:rPr>
          <w:rFonts w:hint="eastAsia" w:eastAsia="方正小标宋简体"/>
          <w:sz w:val="40"/>
          <w:szCs w:val="40"/>
        </w:rPr>
        <w:t>）</w:t>
      </w:r>
      <w:r>
        <w:rPr>
          <w:rFonts w:eastAsia="方正小标宋简体"/>
          <w:sz w:val="40"/>
          <w:szCs w:val="40"/>
        </w:rPr>
        <w:t>招聘聘用人员岗位表</w:t>
      </w:r>
      <w:bookmarkEnd w:id="0"/>
    </w:p>
    <w:p>
      <w:pPr>
        <w:spacing w:line="240" w:lineRule="exact"/>
        <w:jc w:val="center"/>
        <w:rPr>
          <w:rFonts w:eastAsia="方正小标宋简体"/>
          <w:sz w:val="40"/>
          <w:szCs w:val="40"/>
        </w:rPr>
      </w:pPr>
    </w:p>
    <w:tbl>
      <w:tblPr>
        <w:tblStyle w:val="4"/>
        <w:tblpPr w:leftFromText="180" w:rightFromText="180" w:vertAnchor="page" w:horzAnchor="page" w:tblpX="946" w:tblpY="2209"/>
        <w:tblW w:w="15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59"/>
        <w:gridCol w:w="897"/>
        <w:gridCol w:w="952"/>
        <w:gridCol w:w="935"/>
        <w:gridCol w:w="902"/>
        <w:gridCol w:w="3042"/>
        <w:gridCol w:w="1232"/>
        <w:gridCol w:w="1218"/>
        <w:gridCol w:w="1700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9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059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单位</w:t>
            </w:r>
          </w:p>
        </w:tc>
        <w:tc>
          <w:tcPr>
            <w:tcW w:w="897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9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90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04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岗位职责</w:t>
            </w:r>
          </w:p>
        </w:tc>
        <w:tc>
          <w:tcPr>
            <w:tcW w:w="282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四</w:t>
            </w:r>
            <w:r>
              <w:rPr>
                <w:rFonts w:eastAsia="仿宋_GB2312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交通工程（B081902）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材料科学与工程（B080401）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电子科学与技术（B080702）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电子信息工程（B080701）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能源与动力工程（B080501）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人文地理与城乡规划（B070503）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从事不限于项目推进、经济管理、产业研究等综合性管理工作。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1.28周岁以下；</w:t>
            </w: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3.同等条件下，有党政机关、事业单位工作经验的优先考虑。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东莞市价格认定和成本监审中心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四</w:t>
            </w:r>
            <w:r>
              <w:rPr>
                <w:rFonts w:eastAsia="仿宋_GB2312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经济学（B020101）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汉语言文学（B050101）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法学（B030101）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本科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从事不限于经济管理、公文写作、文件处理、调研会务、组织协调等综合性管理工作。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1.25周岁以下；</w:t>
            </w: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3.同等条件下，有党政机关、事业单位工作经验的优先考虑。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021" w:type="dxa"/>
            <w:gridSpan w:val="5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eastAsia="仿宋_GB2312"/>
          <w:b/>
          <w:bCs/>
          <w:sz w:val="24"/>
        </w:rPr>
        <w:t>备注：年龄计算时间截止到2024年</w:t>
      </w:r>
      <w:r>
        <w:rPr>
          <w:rFonts w:hint="eastAsia" w:eastAsia="仿宋_GB2312"/>
          <w:b/>
          <w:bCs/>
          <w:sz w:val="24"/>
          <w:lang w:val="en-US" w:eastAsia="zh-CN"/>
        </w:rPr>
        <w:t>10</w:t>
      </w:r>
      <w:r>
        <w:rPr>
          <w:rFonts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</w:rPr>
        <w:t>31</w:t>
      </w:r>
      <w:r>
        <w:rPr>
          <w:rFonts w:eastAsia="仿宋_GB2312"/>
          <w:b/>
          <w:bCs/>
          <w:sz w:val="24"/>
        </w:rPr>
        <w:t>日</w:t>
      </w:r>
      <w:r>
        <w:rPr>
          <w:rFonts w:eastAsia="仿宋_GB2312"/>
          <w:sz w:val="24"/>
        </w:rPr>
        <w:t>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0A16"/>
    <w:rsid w:val="75D2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center"/>
    </w:pPr>
    <w:rPr>
      <w:rFonts w:ascii="Times New Roman" w:hAnsi="Times New Roman" w:eastAsia="仿宋_GB2312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2024-10-31T09:09:00Z</dcterms:created>
  <dc:creator>hp</dc:creator>
  <cp:lastModifiedBy>hp</cp:lastModifiedBy>
  <dcterms:modified xsi:type="dcterms:W3CDTF">2024-10-31T09:11:02Z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