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至少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考生领到答题卡后，先在答题卡上正确填写编号（即准考证号），在指定位置上准确填写姓名、身份证或准考证等信息。领到试卷后，须在试卷的指定位置上填写考生的信息。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DlpbDAQAAjg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ZXKnD1hR02N4gClDCpPUoQWb3iSCDdnR89VRNUQmqbhal+v1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gOWl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gwZGU0NWZhZmFkNjcyYTY5NDZlYTJjZjI1YWQifQ=="/>
    <w:docVar w:name="KSO_WPS_MARK_KEY" w:val="86cea168-4908-495c-bcc1-69aedbe28931"/>
  </w:docVars>
  <w:rsids>
    <w:rsidRoot w:val="00000000"/>
    <w:rsid w:val="004540E6"/>
    <w:rsid w:val="040F57A4"/>
    <w:rsid w:val="097422E5"/>
    <w:rsid w:val="72A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2022-05-06T08:26:00Z</dcterms:created>
  <dc:creator>HR-HML</dc:creator>
  <cp:lastModifiedBy>LAUREN</cp:lastModifiedBy>
  <dcterms:modified xsi:type="dcterms:W3CDTF">2024-08-26T07:55:32Z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12F74AE0D57347439FBAFDF5B59AFFCF</vt:lpwstr>
  </property>
</Properties>
</file>