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3DBE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23E181F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河北北斗数据科技有限公司2024年拟内部招聘岗位任职资格信息表</w:t>
      </w:r>
    </w:p>
    <w:tbl>
      <w:tblPr>
        <w:tblStyle w:val="3"/>
        <w:tblW w:w="5000" w:type="pct"/>
        <w:tblInd w:w="-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487"/>
        <w:gridCol w:w="975"/>
        <w:gridCol w:w="2121"/>
        <w:gridCol w:w="1341"/>
        <w:gridCol w:w="1341"/>
        <w:gridCol w:w="4843"/>
        <w:gridCol w:w="1199"/>
      </w:tblGrid>
      <w:tr w14:paraId="55B0F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</w:trPr>
        <w:tc>
          <w:tcPr>
            <w:tcW w:w="306" w:type="pct"/>
            <w:shd w:val="clear" w:color="auto" w:fill="auto"/>
            <w:noWrap/>
            <w:vAlign w:val="center"/>
          </w:tcPr>
          <w:p w14:paraId="664CA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14:paraId="73CBF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31C03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14:paraId="7775F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任职资格条件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6C762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1B982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1708" w:type="pct"/>
            <w:shd w:val="clear" w:color="auto" w:fill="auto"/>
            <w:noWrap/>
            <w:vAlign w:val="center"/>
          </w:tcPr>
          <w:p w14:paraId="0FF8D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岗位职责概述</w:t>
            </w:r>
          </w:p>
        </w:tc>
        <w:tc>
          <w:tcPr>
            <w:tcW w:w="423" w:type="pct"/>
            <w:shd w:val="clear" w:color="auto" w:fill="auto"/>
            <w:noWrap/>
            <w:vAlign w:val="center"/>
          </w:tcPr>
          <w:p w14:paraId="5A080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51E7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06" w:type="pct"/>
            <w:vMerge w:val="restart"/>
            <w:shd w:val="clear" w:color="auto" w:fill="auto"/>
            <w:noWrap/>
            <w:vAlign w:val="center"/>
          </w:tcPr>
          <w:p w14:paraId="2FDE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42AF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服务器保养、运维技术专员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07D9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1名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</w:tcPr>
          <w:p w14:paraId="5DFD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35周岁及以内，2年以上相关工作经验，完成信息化、通信、网络工程等相关软硬件项目</w:t>
            </w:r>
          </w:p>
        </w:tc>
        <w:tc>
          <w:tcPr>
            <w:tcW w:w="472" w:type="pct"/>
            <w:vMerge w:val="restart"/>
            <w:shd w:val="clear" w:color="auto" w:fill="auto"/>
            <w:vAlign w:val="center"/>
          </w:tcPr>
          <w:p w14:paraId="3228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472" w:type="pct"/>
            <w:vMerge w:val="restart"/>
            <w:shd w:val="clear" w:color="auto" w:fill="auto"/>
            <w:vAlign w:val="center"/>
          </w:tcPr>
          <w:p w14:paraId="0307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计算机、通信、自动化、软件网络工程等相关专业</w:t>
            </w:r>
          </w:p>
        </w:tc>
        <w:tc>
          <w:tcPr>
            <w:tcW w:w="1708" w:type="pct"/>
            <w:vMerge w:val="restart"/>
            <w:shd w:val="clear" w:color="auto" w:fill="auto"/>
            <w:vAlign w:val="center"/>
          </w:tcPr>
          <w:p w14:paraId="26E05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负责公司软件类项目管理工作，主要包括客户侧需求管理、进度管理、质量管理、沟通管理、风险管理、文档管理等，同时也需要进行公司内部开发部门的进度和质量管理；</w:t>
            </w:r>
          </w:p>
          <w:p w14:paraId="79DA9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 客户需求的理解和收集，协助公司经理进行产品规划设计，在软件开发过程中把握客户需求实现情况，进行相应的功能测试等；</w:t>
            </w:r>
          </w:p>
          <w:p w14:paraId="6347A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负责项目软件的功能及使用，在软件交付的时候协助客户进行安装、部署、调试、初始化设置及数据加载等，并对客户进行培训和现场指导；</w:t>
            </w:r>
          </w:p>
          <w:p w14:paraId="6509C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 维护客户关系，实现项目的平滑交付，同时寻求新项目机会点；</w:t>
            </w:r>
          </w:p>
          <w:p w14:paraId="7BE3B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 客户项目立项、报审、实施、竣工等文档工作。</w:t>
            </w:r>
          </w:p>
          <w:p w14:paraId="3669E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6.有北斗应用，大数据处理经营优先。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14:paraId="36AD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特别优秀的可适当放开招聘条件</w:t>
            </w:r>
          </w:p>
        </w:tc>
      </w:tr>
      <w:tr w14:paraId="52DDC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306" w:type="pct"/>
            <w:vMerge w:val="continue"/>
            <w:shd w:val="clear" w:color="auto" w:fill="auto"/>
            <w:noWrap/>
            <w:vAlign w:val="center"/>
          </w:tcPr>
          <w:p w14:paraId="63BF8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61BD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后端开发技术专员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4438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2名</w:t>
            </w:r>
          </w:p>
        </w:tc>
        <w:tc>
          <w:tcPr>
            <w:tcW w:w="748" w:type="pct"/>
            <w:vMerge w:val="continue"/>
            <w:shd w:val="clear" w:color="auto" w:fill="auto"/>
            <w:vAlign w:val="center"/>
          </w:tcPr>
          <w:p w14:paraId="66E5F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vMerge w:val="continue"/>
            <w:shd w:val="clear" w:color="auto" w:fill="auto"/>
            <w:vAlign w:val="center"/>
          </w:tcPr>
          <w:p w14:paraId="4AB04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vMerge w:val="continue"/>
            <w:shd w:val="clear" w:color="auto" w:fill="auto"/>
            <w:vAlign w:val="center"/>
          </w:tcPr>
          <w:p w14:paraId="0244F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8" w:type="pct"/>
            <w:vMerge w:val="continue"/>
            <w:shd w:val="clear" w:color="auto" w:fill="auto"/>
            <w:vAlign w:val="center"/>
          </w:tcPr>
          <w:p w14:paraId="63654E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" w:type="pct"/>
            <w:vMerge w:val="continue"/>
            <w:shd w:val="clear" w:color="auto" w:fill="auto"/>
            <w:vAlign w:val="center"/>
          </w:tcPr>
          <w:p w14:paraId="4C211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4B3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306" w:type="pct"/>
            <w:vMerge w:val="continue"/>
            <w:shd w:val="clear" w:color="auto" w:fill="auto"/>
            <w:noWrap/>
            <w:vAlign w:val="center"/>
          </w:tcPr>
          <w:p w14:paraId="19D40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2CC4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网络安全技术专员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290C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1名</w:t>
            </w:r>
          </w:p>
        </w:tc>
        <w:tc>
          <w:tcPr>
            <w:tcW w:w="748" w:type="pct"/>
            <w:vMerge w:val="continue"/>
            <w:shd w:val="clear" w:color="auto" w:fill="auto"/>
            <w:vAlign w:val="center"/>
          </w:tcPr>
          <w:p w14:paraId="2E9A6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vMerge w:val="continue"/>
            <w:shd w:val="clear" w:color="auto" w:fill="auto"/>
            <w:vAlign w:val="center"/>
          </w:tcPr>
          <w:p w14:paraId="35F56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vMerge w:val="continue"/>
            <w:shd w:val="clear" w:color="auto" w:fill="auto"/>
            <w:vAlign w:val="center"/>
          </w:tcPr>
          <w:p w14:paraId="0CBE8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8" w:type="pct"/>
            <w:vMerge w:val="continue"/>
            <w:shd w:val="clear" w:color="auto" w:fill="auto"/>
            <w:vAlign w:val="center"/>
          </w:tcPr>
          <w:p w14:paraId="7D3D94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" w:type="pct"/>
            <w:vMerge w:val="continue"/>
            <w:shd w:val="clear" w:color="auto" w:fill="auto"/>
            <w:vAlign w:val="center"/>
          </w:tcPr>
          <w:p w14:paraId="2F73C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D5A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306" w:type="pct"/>
            <w:shd w:val="clear" w:color="auto" w:fill="auto"/>
            <w:noWrap/>
            <w:vAlign w:val="center"/>
          </w:tcPr>
          <w:p w14:paraId="63FD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14:paraId="4130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市场专员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7911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10F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35周岁及以内，其中一名人员要求2年以上互联网相关销售经验</w:t>
            </w:r>
          </w:p>
        </w:tc>
        <w:tc>
          <w:tcPr>
            <w:tcW w:w="472" w:type="pct"/>
            <w:vMerge w:val="continue"/>
            <w:shd w:val="clear" w:color="auto" w:fill="auto"/>
            <w:vAlign w:val="center"/>
          </w:tcPr>
          <w:p w14:paraId="3B140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6AA7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计算机、通信、自动化、软件网络工程等相关专业</w:t>
            </w:r>
          </w:p>
        </w:tc>
        <w:tc>
          <w:tcPr>
            <w:tcW w:w="1708" w:type="pct"/>
            <w:shd w:val="clear" w:color="auto" w:fill="auto"/>
            <w:vAlign w:val="center"/>
          </w:tcPr>
          <w:p w14:paraId="660C2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1.负责公司产品的市场渠道开拓与销售工作，完成每月业绩目标；</w:t>
            </w:r>
          </w:p>
          <w:p w14:paraId="71731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2.维护和开拓新的销售渠道和新客户，自主开发和拓展上下游用户；</w:t>
            </w:r>
          </w:p>
          <w:p w14:paraId="3B01E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3.负责对渠道合作者提供持续支持，收集合作商反馈的意见，对公司营销策略、售后服务等提出参考意见；</w:t>
            </w:r>
          </w:p>
          <w:p w14:paraId="78460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4.根据公司市场营销战略，提升销售价值，积极完成销售目标；</w:t>
            </w:r>
          </w:p>
          <w:p w14:paraId="15EAA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5.负责互联网渠道合作拓展，参与渠道合作方案建议；</w:t>
            </w:r>
          </w:p>
          <w:p w14:paraId="2367E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6.执行渠道开发成本分析和控制方案。</w:t>
            </w:r>
          </w:p>
        </w:tc>
        <w:tc>
          <w:tcPr>
            <w:tcW w:w="423" w:type="pct"/>
            <w:vMerge w:val="continue"/>
            <w:shd w:val="clear" w:color="auto" w:fill="auto"/>
            <w:vAlign w:val="center"/>
          </w:tcPr>
          <w:p w14:paraId="4FD5B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3EC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306" w:type="pct"/>
            <w:shd w:val="clear" w:color="auto" w:fill="auto"/>
            <w:noWrap/>
            <w:vAlign w:val="center"/>
          </w:tcPr>
          <w:p w14:paraId="672F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14:paraId="1945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5460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FD7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35周岁及以内，2年以上相关工作检验</w:t>
            </w:r>
          </w:p>
        </w:tc>
        <w:tc>
          <w:tcPr>
            <w:tcW w:w="472" w:type="pct"/>
            <w:vMerge w:val="continue"/>
            <w:shd w:val="clear" w:color="auto" w:fill="auto"/>
            <w:vAlign w:val="center"/>
          </w:tcPr>
          <w:p w14:paraId="6F53C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vMerge w:val="restart"/>
            <w:shd w:val="clear" w:color="auto" w:fill="auto"/>
            <w:vAlign w:val="center"/>
          </w:tcPr>
          <w:p w14:paraId="251C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财务、金融等相关专业</w:t>
            </w:r>
          </w:p>
        </w:tc>
        <w:tc>
          <w:tcPr>
            <w:tcW w:w="1708" w:type="pct"/>
            <w:shd w:val="clear" w:color="auto" w:fill="auto"/>
            <w:vAlign w:val="center"/>
          </w:tcPr>
          <w:p w14:paraId="36C45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1.对公司的销售收入进行整理、登记；</w:t>
            </w:r>
          </w:p>
          <w:p w14:paraId="4D26E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2.对各项收款进行查询、通知与汇报；</w:t>
            </w:r>
          </w:p>
          <w:p w14:paraId="14B7A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3.定期与业务部门核对收入情况，对应收未收款项让业务部门进行催收，控制坏账风险；4.对收到的款项和收入凭据进行账务处理，录制凭证；</w:t>
            </w:r>
          </w:p>
          <w:p w14:paraId="40205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5.税金的计算、缴纳、清理、税收返还涉税业务的处理工作；</w:t>
            </w:r>
          </w:p>
          <w:p w14:paraId="4A8EE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6.提供审计所需资料，保障审计工作顺利完成；</w:t>
            </w:r>
          </w:p>
        </w:tc>
        <w:tc>
          <w:tcPr>
            <w:tcW w:w="423" w:type="pct"/>
            <w:vMerge w:val="continue"/>
            <w:shd w:val="clear" w:color="auto" w:fill="auto"/>
            <w:vAlign w:val="center"/>
          </w:tcPr>
          <w:p w14:paraId="4128A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294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306" w:type="pct"/>
            <w:shd w:val="clear" w:color="auto" w:fill="auto"/>
            <w:noWrap/>
            <w:vAlign w:val="center"/>
          </w:tcPr>
          <w:p w14:paraId="740C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14:paraId="2B70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出纳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7A93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273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35周岁及以内，2年以上相关工作检验</w:t>
            </w:r>
          </w:p>
        </w:tc>
        <w:tc>
          <w:tcPr>
            <w:tcW w:w="472" w:type="pct"/>
            <w:vMerge w:val="continue"/>
            <w:shd w:val="clear" w:color="auto" w:fill="auto"/>
            <w:vAlign w:val="center"/>
          </w:tcPr>
          <w:p w14:paraId="2E989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pct"/>
            <w:vMerge w:val="continue"/>
            <w:shd w:val="clear" w:color="auto" w:fill="auto"/>
            <w:vAlign w:val="center"/>
          </w:tcPr>
          <w:p w14:paraId="60498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8" w:type="pct"/>
            <w:shd w:val="clear" w:color="auto" w:fill="auto"/>
            <w:vAlign w:val="center"/>
          </w:tcPr>
          <w:p w14:paraId="78518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1.将各付款申请表上传集团资金结算中心，完成付款；</w:t>
            </w:r>
          </w:p>
          <w:p w14:paraId="297D9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2.定期与业务部门核对支出情况；</w:t>
            </w:r>
          </w:p>
          <w:p w14:paraId="02C0E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3.编制资金使用计划，按照计划付款，灵活掌握付款进度；</w:t>
            </w:r>
          </w:p>
          <w:p w14:paraId="161E2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4.对支出的款项和费用凭据进行账务处理，录制凭证；</w:t>
            </w:r>
          </w:p>
          <w:p w14:paraId="79B00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5.月末对各项付款及费用进行分类汇总，制作相应报表，明细反应公司支出情况；</w:t>
            </w:r>
          </w:p>
        </w:tc>
        <w:tc>
          <w:tcPr>
            <w:tcW w:w="423" w:type="pct"/>
            <w:vMerge w:val="continue"/>
            <w:shd w:val="clear" w:color="auto" w:fill="auto"/>
            <w:vAlign w:val="center"/>
          </w:tcPr>
          <w:p w14:paraId="2A0E9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FFA128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MmJiMTQ0MDM3OWVjNjhlYzM3Y2U4ODMyNDEyZTEifQ=="/>
  </w:docVars>
  <w:rsids>
    <w:rsidRoot w:val="288A5755"/>
    <w:rsid w:val="288A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2024-07-17T09:38:00Z</dcterms:created>
  <dc:creator>天天点豆豆</dc:creator>
  <cp:lastModifiedBy>天天点豆豆</cp:lastModifiedBy>
  <dcterms:modified xsi:type="dcterms:W3CDTF">2024-07-17T09:39:51Z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B2762F2F71F14F3186C33EB372E5BA24_11</vt:lpwstr>
  </property>
</Properties>
</file>