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广东能源集团产业投资私募基金管理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有限公司社会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公开</w:t>
      </w:r>
      <w:r>
        <w:rPr>
          <w:rFonts w:hint="eastAsia" w:ascii="宋体" w:hAnsi="宋体"/>
          <w:b/>
          <w:sz w:val="44"/>
          <w:szCs w:val="44"/>
        </w:rPr>
        <w:t>招聘报名表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与××公司员工是否存在有直系、三代以内旁系、近姻亲属关系（如有，请注明）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B70BC"/>
    <w:rsid w:val="17137F78"/>
    <w:rsid w:val="2F7F4758"/>
    <w:rsid w:val="4AA34A9F"/>
    <w:rsid w:val="4F023821"/>
    <w:rsid w:val="55772A98"/>
    <w:rsid w:val="617E37F2"/>
    <w:rsid w:val="69841F90"/>
    <w:rsid w:val="6CEB70BC"/>
    <w:rsid w:val="7C8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2024-06-24T01:03:00Z</dcterms:created>
  <dc:creator>钟媛</dc:creator>
  <cp:lastModifiedBy>钟媛</cp:lastModifiedBy>
  <dcterms:modified xsi:type="dcterms:W3CDTF">2024-07-05T09:01:54Z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99C84548E901484A936339CE1FED9CBB</vt:lpwstr>
  </property>
</Properties>
</file>