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highlight w:val="none"/>
        </w:rPr>
      </w:pPr>
      <w:bookmarkStart w:id="0" w:name="_GoBack"/>
      <w:r>
        <w:rPr>
          <w:rFonts w:hint="eastAsia" w:ascii="Times New Roman" w:hAnsi="黑体" w:eastAsia="黑体"/>
          <w:sz w:val="32"/>
          <w:szCs w:val="32"/>
          <w:highlight w:val="none"/>
        </w:rPr>
        <w:t>安徽中医药高等专科学校周转池制度人才标准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仿宋" w:eastAsia="楷体_GB2312" w:cs="仿宋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1．热爱高等教育事业，拥护中国共产党领导和社会主义制度；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2．遵守宪法、法律和职业道德，为人师表；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3．具有扎实的专业知识、较高的学术水平和教育、教学能力，掌握现代教育技术技能；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4．具有正常履行职责的身体条件和心理素质；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5．法律、法规规定的其他条件。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仿宋" w:eastAsia="楷体_GB2312" w:cs="仿宋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学术及专业实践条件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1.具有副高级及以上专业技术职务人才，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同时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需具有本科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2.具有博士学位人才。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3.具有硕士研究生及以上学历学位人才，年龄符合芜湖市事业单位招考统一要求，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同时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需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具备以下条件之一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：(1)在四类及以上期刊以第一作者发表本专业教研、科研论文1篇及以上；(2)参加五类及以上科研项目1项及以上；(3)获三类及以上科研奖励1项及以上；(4)参加与本专业相关的三类及以上成果推广1项及以上;(5)参加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三类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及以上教育教学研究项目1项及以上；(6)获三类及以上高校教学成果奖1项及以上；(7)获三类及以上专业实践业绩1项及以上；(8)获四类及以上指导竞赛成果1项及以上。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仿宋" w:eastAsia="楷体_GB2312" w:cs="仿宋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特需人才条件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对学校发展急需的高层次、高技能或者紧缺型人才一事一议。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DAyMzkwOTYyMTNmMjllNTYwYmY2ZmI2NDUyZTgifQ=="/>
  </w:docVars>
  <w:rsids>
    <w:rsidRoot w:val="1DE1323B"/>
    <w:rsid w:val="1DE1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2024-06-28T14:25:00Z</dcterms:created>
  <dc:creator>絮</dc:creator>
  <cp:lastModifiedBy>絮</cp:lastModifiedBy>
  <dcterms:modified xsi:type="dcterms:W3CDTF">2024-06-28T14:26:53Z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E67F246399274F4BACDA2C6734116D35_11</vt:lpwstr>
  </property>
</Properties>
</file>