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张家港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经开区国有资本投资运营集团有限公司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优秀高校毕业生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岗位简介表</w:t>
      </w:r>
    </w:p>
    <w:tbl>
      <w:tblPr>
        <w:tblStyle w:val="3"/>
        <w:tblpPr w:leftFromText="180" w:rightFromText="180" w:vertAnchor="text" w:horzAnchor="page" w:tblpX="1673" w:tblpY="359"/>
        <w:tblOverlap w:val="never"/>
        <w:tblW w:w="135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767"/>
        <w:gridCol w:w="1280"/>
        <w:gridCol w:w="527"/>
        <w:gridCol w:w="527"/>
        <w:gridCol w:w="1391"/>
        <w:gridCol w:w="2888"/>
        <w:gridCol w:w="2756"/>
        <w:gridCol w:w="18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16"/>
              </w:tabs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  <w:t>岗位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  <w:lang w:eastAsia="zh-CN"/>
              </w:rPr>
              <w:t>选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  <w:t>聘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  <w:lang w:eastAsia="zh-CN"/>
              </w:rPr>
              <w:t>及学位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8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张家港经开区</w:t>
            </w:r>
          </w:p>
        </w:tc>
        <w:tc>
          <w:tcPr>
            <w:tcW w:w="12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招商引资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全日制本科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研究生毕业院校属于第二轮“双一流建设高校”（147所），或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属于QS、THE、U.S.News任意两个榜单前100位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，具有相应学位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经济类、法律类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男性</w:t>
            </w:r>
          </w:p>
        </w:tc>
        <w:tc>
          <w:tcPr>
            <w:tcW w:w="18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（1）户籍不限；</w:t>
            </w:r>
          </w:p>
          <w:p>
            <w:pPr>
              <w:spacing w:beforeLines="0" w:afterLines="0"/>
              <w:jc w:val="left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（2）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35周岁及以下。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经济类、法律类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女性</w:t>
            </w:r>
          </w:p>
        </w:tc>
        <w:tc>
          <w:tcPr>
            <w:tcW w:w="1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企业服务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统计类、审计类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男性</w:t>
            </w:r>
          </w:p>
        </w:tc>
        <w:tc>
          <w:tcPr>
            <w:tcW w:w="1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统计类、审计类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女性</w:t>
            </w:r>
          </w:p>
        </w:tc>
        <w:tc>
          <w:tcPr>
            <w:tcW w:w="1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安全监管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安全生产类、化学工程类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男性</w:t>
            </w:r>
          </w:p>
        </w:tc>
        <w:tc>
          <w:tcPr>
            <w:tcW w:w="1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安全生产类、化学工程类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女性</w:t>
            </w:r>
          </w:p>
        </w:tc>
        <w:tc>
          <w:tcPr>
            <w:tcW w:w="1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规划建设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建筑工程类、城建规划类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男性</w:t>
            </w:r>
          </w:p>
        </w:tc>
        <w:tc>
          <w:tcPr>
            <w:tcW w:w="1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建筑工程类、城建规划类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女性</w:t>
            </w:r>
          </w:p>
        </w:tc>
        <w:tc>
          <w:tcPr>
            <w:tcW w:w="1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金融管理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经济类、财务财会类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男性</w:t>
            </w:r>
          </w:p>
        </w:tc>
        <w:tc>
          <w:tcPr>
            <w:tcW w:w="1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经济类、财务财会类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女性</w:t>
            </w:r>
          </w:p>
        </w:tc>
        <w:tc>
          <w:tcPr>
            <w:tcW w:w="1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公共管理类、法律类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男性</w:t>
            </w:r>
          </w:p>
        </w:tc>
        <w:tc>
          <w:tcPr>
            <w:tcW w:w="1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公共管理类、法律类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女性</w:t>
            </w:r>
          </w:p>
        </w:tc>
        <w:tc>
          <w:tcPr>
            <w:tcW w:w="1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综合文秘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中文文秘类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中共党员</w:t>
            </w:r>
          </w:p>
        </w:tc>
        <w:tc>
          <w:tcPr>
            <w:tcW w:w="1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财务法务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法律类、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财务财会类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中共党员</w:t>
            </w:r>
            <w:bookmarkStart w:id="0" w:name="_GoBack"/>
            <w:bookmarkEnd w:id="0"/>
          </w:p>
        </w:tc>
        <w:tc>
          <w:tcPr>
            <w:tcW w:w="1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财务财会类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工程招标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建筑工程类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二级造价工程师及以上职业资格证书优先</w:t>
            </w:r>
          </w:p>
        </w:tc>
        <w:tc>
          <w:tcPr>
            <w:tcW w:w="1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物业管理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工商管理类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907" w:right="2154" w:bottom="907" w:left="204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6B9F73-DECB-4733-8CC6-6A9E0915EE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F6AD04C-BBEF-40D7-ADCC-267CA38A524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679A524-686C-4F46-B303-45927DBE007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MzE3YmNlNzA1OTQ4OGRjMjE1NjYyOTRhOWEwNzYifQ=="/>
  </w:docVars>
  <w:rsids>
    <w:rsidRoot w:val="00172A27"/>
    <w:rsid w:val="003836CF"/>
    <w:rsid w:val="094A2BCE"/>
    <w:rsid w:val="09500E08"/>
    <w:rsid w:val="0A4531CF"/>
    <w:rsid w:val="0AB319EF"/>
    <w:rsid w:val="0D0530B4"/>
    <w:rsid w:val="1B6E2EF5"/>
    <w:rsid w:val="1BAC2C23"/>
    <w:rsid w:val="1BB3667A"/>
    <w:rsid w:val="219C02C4"/>
    <w:rsid w:val="222B1769"/>
    <w:rsid w:val="366714F7"/>
    <w:rsid w:val="3D1439AE"/>
    <w:rsid w:val="46F35534"/>
    <w:rsid w:val="5EA56456"/>
    <w:rsid w:val="5F4454A8"/>
    <w:rsid w:val="60F62FA4"/>
    <w:rsid w:val="62F847E5"/>
    <w:rsid w:val="635B79CA"/>
    <w:rsid w:val="672268B2"/>
    <w:rsid w:val="6DB12070"/>
    <w:rsid w:val="704E2A69"/>
    <w:rsid w:val="711D386E"/>
    <w:rsid w:val="726B30F6"/>
    <w:rsid w:val="74F27ACD"/>
    <w:rsid w:val="7F2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477</Characters>
  <Lines>0</Lines>
  <Paragraphs>0</Paragraphs>
  <TotalTime>1</TotalTime>
  <ScaleCrop>false</ScaleCrop>
  <LinksUpToDate>false</LinksUpToDate>
  <CharactersWithSpaces>477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2023-03-24T06:39:00Z</dcterms:created>
  <dc:creator>lenovo</dc:creator>
  <cp:lastModifiedBy>剧掌门</cp:lastModifiedBy>
  <cp:lastPrinted>2024-06-14T03:00:00Z</cp:lastPrinted>
  <dcterms:modified xsi:type="dcterms:W3CDTF">2024-06-21T03:00:41Z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FE4F458B190D4615944BBD7C4B75E1E4</vt:lpwstr>
  </property>
</Properties>
</file>