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市建设局局属国有企业（协会）公开招聘工作人员岗位信息表</w:t>
      </w:r>
    </w:p>
    <w:tbl>
      <w:tblPr>
        <w:tblStyle w:val="7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53"/>
        <w:gridCol w:w="800"/>
        <w:gridCol w:w="651"/>
        <w:gridCol w:w="1801"/>
        <w:gridCol w:w="1416"/>
        <w:gridCol w:w="1549"/>
        <w:gridCol w:w="2253"/>
        <w:gridCol w:w="220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招聘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报名邮箱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造价协会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会计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财务管理、财务学、会计学、会计等相关专业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全日制本科及以上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1.近3年均在企业从事会计工作；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2.取得初级及以上会计职称。</w:t>
            </w: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huzhou_jgzx@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"http://126.com/" \t "_blank"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  <w:shd w:val="clear" w:color="auto" w:fill="FFFFFF"/>
              </w:rPr>
              <w:t>126.com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0572-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2069947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检测中心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工程检测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土木类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全日制本科及以上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具备一级注册结构工程师。</w:t>
            </w: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兴环公司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垃圾分类管理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新闻传播学类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设计学类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全日制本科及以上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良好的职业操守及团队合作精神，有一定的文字功底和较强的沟通、理解和分析能力。</w:t>
            </w: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27448618@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color="auto" w:fill="FFFFFF"/>
              </w:rPr>
              <w:instrText xml:space="preserve"> HYPERLINK "http://qq.com/" \t "_blank"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color="auto" w:fill="FFFFFF"/>
              </w:rPr>
              <w:t>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0572-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2532502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建筑垃圾管理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土木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类、建筑类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全日制本科及以上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22E26D83"/>
    <w:rsid w:val="135C37D3"/>
    <w:rsid w:val="22E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</w:r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  <w:lang w:val="zh-CN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2024-06-19T09:13:00Z</dcterms:created>
  <dc:creator>PZY</dc:creator>
  <cp:lastModifiedBy>PZY</cp:lastModifiedBy>
  <dcterms:modified xsi:type="dcterms:W3CDTF">2024-06-19T09:14:11Z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4430620938AD44E281BA1C75DB82F4FD_11</vt:lpwstr>
  </property>
</Properties>
</file>