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-292"/>
        <w:tblOverlap w:val="never"/>
        <w:tblW w:w="9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199"/>
        <w:gridCol w:w="1415"/>
        <w:gridCol w:w="1312"/>
        <w:gridCol w:w="1263"/>
        <w:gridCol w:w="1212"/>
        <w:gridCol w:w="1015"/>
        <w:gridCol w:w="760"/>
        <w:gridCol w:w="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spacing w:line="400" w:lineRule="exact"/>
              <w:ind w:left="0" w:leftChars="0"/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br w:type="page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191919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sz w:val="36"/>
                <w:szCs w:val="36"/>
                <w:lang w:eastAsia="zh-CN"/>
              </w:rPr>
              <w:t>云南省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曲靖市委党校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  <w:lang w:val="en-US" w:eastAsia="zh-CN"/>
              </w:rPr>
              <w:t>2024年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青年人才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引进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sz w:val="36"/>
                <w:szCs w:val="36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业绩评价表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191919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color w:val="191919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5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评价内容与分值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单项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lang w:val="en-US" w:eastAsia="zh-CN"/>
              </w:rPr>
              <w:t>自评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单项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考核分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计分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（ 50分）</w:t>
            </w:r>
          </w:p>
        </w:tc>
        <w:tc>
          <w:tcPr>
            <w:tcW w:w="6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全日制博士研究生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本科就读于“双一流”A类大学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的，计50分。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全日制博士研究生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本科就读于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“双一流”A类大学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的，计40分。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本科就读于“双一流”A类大学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的，计20分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学术成果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计分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（30分）</w:t>
            </w:r>
          </w:p>
        </w:tc>
        <w:tc>
          <w:tcPr>
            <w:tcW w:w="6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1、在中文核心期刊上发表学术论文（理论宣传文章），按每篇30分计算。南大（cssci）中文核心期刊要目总览扩展版折半计分。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2、在除中文核心期刊以外的公开刊物上发表学术论文（理论宣传文章），按每篇5分计算。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3、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6"/>
                <w:kern w:val="0"/>
                <w:sz w:val="20"/>
                <w:szCs w:val="20"/>
              </w:rPr>
              <w:t>专著。独立专著，或者第一作者，一类出版社出版的著作，计30分；二类出版社出版的著作，计20分；三类出版社出版的著作，计10分。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同一学术成果被同时采纳的，以最高级别计分；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有多项成果的可累计计分，但该项总分不突破30分。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计分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（20分）</w:t>
            </w:r>
          </w:p>
        </w:tc>
        <w:tc>
          <w:tcPr>
            <w:tcW w:w="6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获得国家级表彰，每一次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15分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获得省（部）级表彰，每一次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8分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获得厅（局）级表彰，每一次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5分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同一内容受到多</w:t>
            </w:r>
            <w:r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级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表彰的，以最高级别计分；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有多项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表彰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的可累计计分，但该项总分不突破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0分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招聘小组审核赋分</w:t>
            </w:r>
          </w:p>
        </w:tc>
        <w:tc>
          <w:tcPr>
            <w:tcW w:w="89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80" w:firstLineChars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   分：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540" w:firstLineChars="7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20" w:firstLineChars="1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参与审核人员（签字） 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（招考单位盖章）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本人确认</w:t>
            </w:r>
          </w:p>
        </w:tc>
        <w:tc>
          <w:tcPr>
            <w:tcW w:w="89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签字：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年 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both"/>
        <w:textAlignment w:val="center"/>
        <w:rPr>
          <w:rFonts w:hint="default"/>
        </w:rPr>
      </w:pPr>
    </w:p>
    <w:p>
      <w:r>
        <w:rPr>
          <w:rFonts w:hint="default"/>
        </w:rPr>
        <w:t>备注：1、“表彰计分”栏，仅限于教学和科研类表彰。统计时限为就读硕士研究生以来所受表彰情况。2、中文核心期刊以北大</w:t>
      </w:r>
      <w:r>
        <w:rPr>
          <w:rFonts w:hint="default" w:ascii="Times New Roman" w:hAnsi="Times New Roman" w:cs="Times New Roman"/>
        </w:rPr>
        <w:t>2020</w:t>
      </w:r>
      <w:r>
        <w:rPr>
          <w:rFonts w:hint="default"/>
        </w:rPr>
        <w:t>年最新版、南大</w:t>
      </w:r>
      <w:r>
        <w:rPr>
          <w:rFonts w:hint="default" w:ascii="Times New Roman" w:hAnsi="Times New Roman" w:cs="Times New Roman"/>
        </w:rPr>
        <w:t>cssci2022</w:t>
      </w:r>
      <w:r>
        <w:rPr>
          <w:rFonts w:hint="default"/>
        </w:rPr>
        <w:t>年最新版中文核心期刊要目总览为准。3、发表学术论文（理论宣传文章）的，独立成果的则独享全部分数。非独立成果即联名成果的，按照《联名科研成果课时分配对照表》分配。</w:t>
      </w:r>
      <w:r>
        <w:rPr>
          <w:rFonts w:hint="default"/>
          <w:lang w:val="en-US" w:eastAsia="zh-CN"/>
        </w:rPr>
        <w:t>4、</w:t>
      </w:r>
      <w:r>
        <w:rPr>
          <w:rFonts w:hint="default"/>
        </w:rPr>
        <w:t>专著必须是独立成果，或者第一作者。</w:t>
      </w:r>
      <w:bookmarkStart w:id="0" w:name="_Hlk84371188"/>
      <w:r>
        <w:rPr>
          <w:rFonts w:hint="default"/>
        </w:rPr>
        <w:t>一类出版社：人民出版社、商务印书馆、生活.读书.新知三联书店、中华书局。二类出版社：中央各部委主管的出版社、各省人民出版社、国家教育部直属综合类大学出版社。</w:t>
      </w:r>
      <w:bookmarkEnd w:id="0"/>
      <w:r>
        <w:rPr>
          <w:rFonts w:hint="default"/>
        </w:rPr>
        <w:t>三类出版社：上述一、二类出版社以外的其他出版社。</w:t>
      </w:r>
      <w:r>
        <w:rPr>
          <w:rFonts w:hint="default"/>
          <w:lang w:val="en-US" w:eastAsia="zh-CN"/>
        </w:rPr>
        <w:t>5</w:t>
      </w:r>
      <w:r>
        <w:rPr>
          <w:rFonts w:hint="default"/>
        </w:rPr>
        <w:t>、表彰层次以表彰文件或证书落款单位的行政级别判断。国家“五个一”工程奖、国家优秀社科奖属于国家级表彰；省哲学社会科学优秀成果奖属于省级表彰；市哲学社会科学优秀成果奖属于市级表彰。</w:t>
      </w:r>
      <w:r>
        <w:rPr>
          <w:rFonts w:hint="default"/>
          <w:lang w:val="en-US" w:eastAsia="zh-CN"/>
        </w:rPr>
        <w:t>6、</w:t>
      </w:r>
      <w:r>
        <w:rPr>
          <w:rFonts w:hint="default"/>
        </w:rPr>
        <w:t>以上证明材料需提供原件及复印件各1份，复印件须注明“此件与原件相符合”并由本人签字确认。</w:t>
      </w:r>
    </w:p>
    <w:sectPr>
      <w:pgSz w:w="11906" w:h="16838"/>
      <w:pgMar w:top="1134" w:right="1134" w:bottom="132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hhNzI3MGU5ZTc3ZjQxMGVkM2U0YWIxMjVjYTMifQ=="/>
    <w:docVar w:name="KSO_WPS_MARK_KEY" w:val="af2aa09f-e998-4216-9462-1c1306d16da2"/>
  </w:docVars>
  <w:rsids>
    <w:rsidRoot w:val="00000000"/>
    <w:rsid w:val="336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  <w:rPr>
      <w:rFonts w:ascii="Calibri" w:hAnsi="Calibri" w:eastAsia="宋体" w:cs="Calibri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正文-公1"/>
    <w:basedOn w:val="1"/>
    <w:qFormat/>
    <w:uiPriority w:val="99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2024-04-30T08:38:21Z</dcterms:created>
  <dc:creator>Lenovo</dc:creator>
  <cp:lastModifiedBy>李炳荣</cp:lastModifiedBy>
  <dcterms:modified xsi:type="dcterms:W3CDTF">2024-04-30T08:38:58Z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6CFA3B36278B47E99203E8CF944CEFFD_12</vt:lpwstr>
  </property>
</Properties>
</file>