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79" w:lineRule="exact"/>
        <w:jc w:val="left"/>
        <w:rPr>
          <w:rFonts w:ascii="宋体" w:hAnsi="宋体" w:hint="eastAsia"/>
        </w:rPr>
      </w:pPr>
      <w:r>
        <w:rPr>
          <w:rFonts w:ascii="宋体" w:eastAsia="方正黑体_GBK" w:cs="方正黑体_GBK" w:hAnsi="宋体" w:hint="eastAsia"/>
          <w:snapToGrid w:val="0"/>
          <w:szCs w:val="32"/>
        </w:rPr>
        <w:t>附件1</w:t>
      </w:r>
    </w:p>
    <w:p>
      <w:pPr>
        <w:spacing w:line="579" w:lineRule="exact"/>
        <w:jc w:val="center"/>
        <w:rPr>
          <w:rFonts w:ascii="宋体" w:eastAsia="方正小标宋_GBK" w:hAnsi="宋体"/>
          <w:sz w:val="44"/>
          <w:szCs w:val="44"/>
        </w:rPr>
      </w:pPr>
      <w:r>
        <w:rPr>
          <w:rFonts w:ascii="宋体" w:eastAsia="方正小标宋_GBK" w:hAnsi="宋体"/>
          <w:sz w:val="44"/>
          <w:szCs w:val="44"/>
        </w:rPr>
        <w:t>重庆津鼎城市建设发展（集团）有限公司</w:t>
      </w:r>
    </w:p>
    <w:p>
      <w:pPr>
        <w:spacing w:line="579" w:lineRule="exact"/>
        <w:jc w:val="center"/>
        <w:rPr>
          <w:rFonts w:ascii="宋体" w:eastAsia="方正小标宋_GBK" w:cs="方正仿宋_GB2312" w:hAnsi="宋体"/>
          <w:sz w:val="44"/>
        </w:rPr>
      </w:pPr>
      <w:r>
        <w:rPr>
          <w:rFonts w:ascii="宋体" w:eastAsia="方正小标宋_GBK" w:cs="方正仿宋_GB2312" w:hAnsi="宋体"/>
          <w:sz w:val="44"/>
        </w:rPr>
        <w:t>公开</w:t>
      </w:r>
      <w:r>
        <w:rPr>
          <w:rFonts w:ascii="宋体" w:eastAsia="方正小标宋_GBK" w:cs="方正仿宋_GB2312" w:hAnsi="宋体"/>
          <w:sz w:val="44"/>
          <w:lang w:eastAsia="zh-CN"/>
        </w:rPr>
        <w:t>选</w:t>
      </w:r>
      <w:r>
        <w:rPr>
          <w:rFonts w:ascii="宋体" w:eastAsia="方正小标宋_GBK" w:cs="方正仿宋_GB2312" w:hAnsi="宋体" w:hint="eastAsia"/>
          <w:sz w:val="44"/>
          <w:lang w:eastAsia="zh-CN"/>
        </w:rPr>
        <w:t>聘工作人员</w:t>
      </w:r>
      <w:r>
        <w:rPr>
          <w:rFonts w:ascii="宋体" w:eastAsia="方正小标宋_GBK" w:cs="方正仿宋_GB2312" w:hAnsi="宋体"/>
          <w:sz w:val="44"/>
        </w:rPr>
        <w:t>岗位一览表</w:t>
      </w:r>
    </w:p>
    <w:tbl>
      <w:tblPr>
        <w:tblpPr w:leftFromText="180" w:rightFromText="180" w:vertAnchor="text" w:horzAnchor="page" w:tblpX="990" w:tblpY="218"/>
        <w:tblOverlap w:val="never"/>
        <w:tblW w:w="14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963"/>
        <w:gridCol w:w="1906"/>
        <w:gridCol w:w="838"/>
        <w:gridCol w:w="910"/>
        <w:gridCol w:w="970"/>
        <w:gridCol w:w="1260"/>
        <w:gridCol w:w="1571"/>
        <w:gridCol w:w="1351"/>
        <w:gridCol w:w="1629"/>
        <w:gridCol w:w="2511"/>
      </w:tblGrid>
      <w:tr>
        <w:trPr>
          <w:trHeight w:val="891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eastAsia="方正黑体_GBK" w:hAnsi="宋体"/>
                <w:sz w:val="28"/>
                <w:szCs w:val="28"/>
              </w:rPr>
            </w:pPr>
            <w:r>
              <w:rPr>
                <w:rFonts w:ascii="宋体" w:eastAsia="方正黑体_GBK" w:hAnsi="宋体" w:hint="eastAsia"/>
                <w:sz w:val="28"/>
                <w:szCs w:val="28"/>
              </w:rPr>
              <w:t>序号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eastAsia="方正黑体_GBK" w:hAnsi="宋体" w:hint="eastAsia"/>
                <w:sz w:val="28"/>
                <w:szCs w:val="28"/>
              </w:rPr>
            </w:pPr>
            <w:r>
              <w:rPr>
                <w:rFonts w:ascii="宋体" w:eastAsia="方正黑体_GBK" w:hAnsi="宋体"/>
                <w:sz w:val="28"/>
                <w:szCs w:val="28"/>
              </w:rPr>
              <w:t>部门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eastAsia="方正黑体_GBK" w:hAnsi="宋体" w:hint="eastAsia"/>
                <w:sz w:val="28"/>
                <w:szCs w:val="28"/>
              </w:rPr>
            </w:pPr>
            <w:r>
              <w:rPr>
                <w:rFonts w:ascii="宋体" w:eastAsia="方正黑体_GBK" w:hAnsi="宋体" w:hint="eastAsia"/>
                <w:sz w:val="28"/>
                <w:szCs w:val="28"/>
              </w:rPr>
              <w:t>岗位</w:t>
            </w:r>
          </w:p>
          <w:p>
            <w:pPr>
              <w:spacing w:line="360" w:lineRule="exact"/>
              <w:jc w:val="center"/>
              <w:rPr>
                <w:rFonts w:ascii="宋体" w:eastAsia="方正黑体_GBK" w:hAnsi="宋体" w:hint="eastAsia"/>
                <w:sz w:val="28"/>
                <w:szCs w:val="28"/>
              </w:rPr>
            </w:pPr>
            <w:r>
              <w:rPr>
                <w:rFonts w:ascii="宋体" w:eastAsia="方正黑体_GBK" w:hAnsi="宋体" w:hint="eastAsia"/>
                <w:sz w:val="28"/>
                <w:szCs w:val="28"/>
              </w:rPr>
              <w:t>名称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eastAsia="方正黑体_GBK" w:hAnsi="宋体" w:hint="eastAsia"/>
                <w:sz w:val="28"/>
                <w:szCs w:val="28"/>
                <w:lang w:eastAsia="zh-CN"/>
              </w:rPr>
            </w:pPr>
            <w:r>
              <w:rPr>
                <w:rFonts w:ascii="宋体" w:eastAsia="方正黑体_GBK" w:hAnsi="宋体" w:hint="eastAsia"/>
                <w:sz w:val="28"/>
                <w:szCs w:val="28"/>
                <w:lang w:eastAsia="zh-CN"/>
              </w:rPr>
              <w:t>选聘</w:t>
            </w:r>
          </w:p>
          <w:p>
            <w:pPr>
              <w:spacing w:line="360" w:lineRule="exact"/>
              <w:jc w:val="center"/>
              <w:rPr>
                <w:rFonts w:ascii="宋体" w:eastAsia="方正黑体_GBK" w:hAnsi="宋体" w:hint="eastAsia"/>
                <w:sz w:val="28"/>
                <w:szCs w:val="28"/>
              </w:rPr>
            </w:pPr>
            <w:r>
              <w:rPr>
                <w:rFonts w:ascii="宋体" w:eastAsia="方正黑体_GBK" w:hAnsi="宋体" w:hint="eastAsia"/>
                <w:sz w:val="28"/>
                <w:szCs w:val="28"/>
              </w:rPr>
              <w:t>名额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eastAsia="方正黑体_GBK" w:hAnsi="宋体" w:hint="eastAsia"/>
                <w:sz w:val="28"/>
                <w:szCs w:val="28"/>
              </w:rPr>
            </w:pPr>
            <w:r>
              <w:rPr>
                <w:rFonts w:ascii="宋体" w:eastAsia="方正黑体_GBK" w:hAnsi="宋体" w:hint="eastAsia"/>
                <w:sz w:val="28"/>
                <w:szCs w:val="28"/>
              </w:rPr>
              <w:t>性别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eastAsia="方正黑体_GBK" w:hAnsi="宋体" w:hint="eastAsia"/>
                <w:sz w:val="28"/>
                <w:szCs w:val="28"/>
              </w:rPr>
            </w:pPr>
            <w:r>
              <w:rPr>
                <w:rFonts w:ascii="宋体" w:eastAsia="方正黑体_GBK" w:hAnsi="宋体" w:hint="eastAsia"/>
                <w:sz w:val="28"/>
                <w:szCs w:val="28"/>
              </w:rPr>
              <w:t>年龄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宋体" w:eastAsia="方正黑体_GBK" w:hAnsi="宋体" w:hint="eastAsia"/>
                <w:sz w:val="28"/>
                <w:szCs w:val="28"/>
              </w:rPr>
            </w:pPr>
            <w:r>
              <w:rPr>
                <w:rFonts w:ascii="宋体" w:eastAsia="方正黑体_GBK" w:hAnsi="宋体" w:hint="eastAsia"/>
                <w:sz w:val="28"/>
                <w:szCs w:val="28"/>
              </w:rPr>
              <w:t>学历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宋体" w:eastAsia="方正黑体_GBK" w:hAnsi="宋体" w:hint="eastAsia"/>
                <w:sz w:val="28"/>
                <w:szCs w:val="28"/>
              </w:rPr>
            </w:pPr>
            <w:r>
              <w:rPr>
                <w:rFonts w:ascii="宋体" w:eastAsia="方正黑体_GBK" w:hAnsi="宋体" w:hint="eastAsia"/>
                <w:sz w:val="28"/>
                <w:szCs w:val="28"/>
              </w:rPr>
              <w:t>专业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宋体" w:eastAsia="方正黑体_GBK" w:hAnsi="宋体"/>
                <w:sz w:val="28"/>
                <w:szCs w:val="28"/>
              </w:rPr>
            </w:pPr>
            <w:r>
              <w:rPr>
                <w:rFonts w:ascii="宋体" w:eastAsia="方正黑体_GBK" w:hAnsi="宋体"/>
                <w:sz w:val="28"/>
                <w:szCs w:val="28"/>
              </w:rPr>
              <w:t>职称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eastAsia="方正黑体_GBK" w:hAnsi="宋体" w:hint="eastAsia"/>
                <w:sz w:val="28"/>
                <w:szCs w:val="28"/>
              </w:rPr>
            </w:pPr>
            <w:r>
              <w:rPr>
                <w:rFonts w:ascii="宋体" w:eastAsia="方正黑体_GBK" w:hAnsi="宋体" w:hint="eastAsia"/>
                <w:sz w:val="28"/>
                <w:szCs w:val="28"/>
              </w:rPr>
              <w:t>工作经历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eastAsia="方正黑体_GBK" w:hAnsi="宋体" w:hint="eastAsia"/>
                <w:sz w:val="28"/>
                <w:szCs w:val="28"/>
              </w:rPr>
            </w:pPr>
            <w:r>
              <w:rPr>
                <w:rFonts w:ascii="宋体" w:eastAsia="方正黑体_GBK" w:hAnsi="宋体" w:hint="eastAsia"/>
                <w:sz w:val="28"/>
                <w:szCs w:val="28"/>
              </w:rPr>
              <w:t>其他要求</w:t>
            </w:r>
          </w:p>
        </w:tc>
      </w:tr>
      <w:tr>
        <w:trPr>
          <w:trHeight w:val="882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方正仿宋_GBK" w:hAnsi="宋体"/>
                <w:sz w:val="24"/>
                <w:szCs w:val="24"/>
                <w:lang w:eastAsia="zh-CN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综合部</w:t>
            </w:r>
            <w:r>
              <w:rPr>
                <w:rFonts w:ascii="宋体" w:eastAsia="方正仿宋_GBK" w:hAnsi="宋体"/>
                <w:sz w:val="24"/>
                <w:szCs w:val="24"/>
                <w:lang w:eastAsia="zh-CN"/>
              </w:rPr>
              <w:t>（</w:t>
            </w:r>
            <w:r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  <w:t>董事会办公室</w:t>
            </w:r>
            <w:r>
              <w:rPr>
                <w:rFonts w:ascii="宋体" w:eastAsia="方正仿宋_GBK" w:hAnsi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安全稳定岗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不限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eastAsia="方正仿宋_GBK" w:hAnsi="宋体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35周岁及以下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大学</w:t>
            </w:r>
            <w:r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  <w:t>本</w:t>
            </w:r>
            <w:r>
              <w:rPr>
                <w:rFonts w:ascii="宋体" w:eastAsia="方正仿宋_GBK" w:hAnsi="宋体"/>
                <w:sz w:val="24"/>
                <w:szCs w:val="24"/>
              </w:rPr>
              <w:t>科及以上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网络工程、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法律文秘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不限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  <w:t>区属国有企业工作经历2年及以上，未满2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  <w:t>年的累计5年以上工作经历。</w:t>
            </w:r>
          </w:p>
        </w:tc>
        <w:tc>
          <w:tcPr>
            <w:tcW w:w="251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  <w:t>具有较强的沟通协调能力和公文写作能力；</w:t>
            </w:r>
            <w:r>
              <w:rPr>
                <w:rFonts w:ascii="宋体" w:eastAsia="方正仿宋_GBK" w:hAnsi="宋体"/>
                <w:sz w:val="24"/>
                <w:szCs w:val="24"/>
              </w:rPr>
              <w:t>具有较强的语言表达能力和良好的逻辑思维能力；具有良好的心理素质和应变能力。</w:t>
            </w:r>
          </w:p>
        </w:tc>
      </w:tr>
      <w:tr>
        <w:trPr>
          <w:trHeight w:val="852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内审</w:t>
            </w: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合规管理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不限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40周岁及以下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大学专科及以上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行政管理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不限</w:t>
            </w:r>
          </w:p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51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/>
        </w:tc>
      </w:tr>
      <w:tr>
        <w:trPr>
          <w:trHeight w:val="883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劳资人事岗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不限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35周岁及以下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大学本科及以上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不限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不限</w:t>
            </w: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20" w:lineRule="exact"/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  <w:t>具有较强的公文写作能力；从事宣传相关工作2年以上。</w:t>
            </w:r>
          </w:p>
        </w:tc>
      </w:tr>
      <w:tr>
        <w:trPr>
          <w:trHeight w:val="872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方正仿宋_GBK" w:hAnsi="宋体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财务部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风控岗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不限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35周岁及以下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大学本科及以上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会计学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初级会计师职称及以上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  <w:t>区属国有企业财务相关工作经历2年及以上，未满2年的累计5年以上工作经历。</w:t>
            </w:r>
          </w:p>
        </w:tc>
        <w:tc>
          <w:tcPr>
            <w:tcW w:w="251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  <w:t>具有良好的沟通协调能力；能熟练操作电脑办公软件，熟悉金蝶、用友等财务核算软件；有较高的思想政治水平；有良好的品行和较强的责任心、执行力。</w:t>
            </w:r>
          </w:p>
        </w:tc>
      </w:tr>
      <w:tr>
        <w:trPr>
          <w:trHeight w:val="81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出纳岗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不限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35周岁及以下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大学本科及以上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会计学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初级会计师职称及以上</w:t>
            </w: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251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/>
        </w:tc>
      </w:tr>
      <w:tr>
        <w:trPr>
          <w:trHeight w:val="844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会计岗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不限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35周岁及以下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大学本科及以上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会计学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初级会计师及以上</w:t>
            </w: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251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/>
        </w:tc>
      </w:tr>
      <w:tr>
        <w:trPr>
          <w:trHeight w:val="551"/>
        </w:trPr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300" w:lineRule="exact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资产运营部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资产运营管理岗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不限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35周岁及以下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大学本科及以上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资产评估与管理、工程管理、行政管理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不限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80" w:lineRule="exact"/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  <w:t>区属国有企业工作经历2年及以上，未满2年的累计5年以上工作经历。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80" w:lineRule="exact"/>
              <w:rPr>
                <w:rFonts w:ascii="宋体" w:eastAsia="方正仿宋_GBK" w:hAnsi="宋体"/>
                <w:sz w:val="24"/>
                <w:szCs w:val="24"/>
                <w:lang w:eastAsia="zh-CN"/>
              </w:rPr>
            </w:pPr>
            <w:r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  <w:t>具有较强的沟通协调能力；</w:t>
            </w:r>
            <w:r>
              <w:rPr>
                <w:rFonts w:ascii="宋体" w:eastAsia="方正仿宋_GBK" w:hAnsi="宋体"/>
                <w:sz w:val="24"/>
                <w:szCs w:val="24"/>
              </w:rPr>
              <w:t>具有较强的语言表达能力和良好的逻辑思维能力；具有良好的心理素质和应变能力。</w:t>
            </w:r>
          </w:p>
        </w:tc>
      </w:tr>
      <w:tr>
        <w:trPr>
          <w:trHeight w:val="65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投资管理部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战略规划岗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不限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40周岁及以下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大学本科及以上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投资经济、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金融学、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项目管理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不限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80" w:lineRule="exact"/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  <w:t>区属国有企业工作经历2年及以上，未满2年的累计5年以上工作经历。</w:t>
            </w:r>
          </w:p>
        </w:tc>
        <w:tc>
          <w:tcPr>
            <w:tcW w:w="251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80" w:lineRule="exact"/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  <w:t>具有较强的沟通协调能力；</w:t>
            </w:r>
            <w:r>
              <w:rPr>
                <w:rFonts w:ascii="宋体" w:eastAsia="方正仿宋_GBK" w:hAnsi="宋体"/>
                <w:sz w:val="24"/>
                <w:szCs w:val="24"/>
              </w:rPr>
              <w:t>具有较强的语言表达能力和良好的逻辑思维能力；具有良好的心理素质和应变能力。</w:t>
            </w:r>
          </w:p>
        </w:tc>
      </w:tr>
      <w:tr>
        <w:trPr>
          <w:trHeight w:val="831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计划管理岗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不限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35周岁及以下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大学本科及以上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投资经济、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工程造价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助理工程师及以上</w:t>
            </w:r>
          </w:p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/>
        </w:tc>
      </w:tr>
      <w:tr>
        <w:trPr>
          <w:trHeight w:val="563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投资管理岗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不限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40周岁及以下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大学本科及以上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投资经济、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法学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助理工程师及以上</w:t>
            </w: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251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/>
        </w:tc>
      </w:tr>
      <w:tr>
        <w:trPr>
          <w:trHeight w:val="77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项目管理岗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不限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40周岁及以下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大学本科及以上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投资经济、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信息工程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二级建造师、建筑工程师</w:t>
            </w: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251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/>
        </w:tc>
      </w:tr>
      <w:tr>
        <w:trPr>
          <w:trHeight w:val="857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300" w:lineRule="exact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市场运营一部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市场分析岗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不限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  <w:lang w:bidi="ar-SA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40周岁及以下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  <w:lang w:bidi="ar-SA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大学本科及以上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市场营销、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  <w:lang w:bidi="ar-SA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会计学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  <w:lang w:bidi="ar-SA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助理工程师及以上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80" w:lineRule="exact"/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  <w:t>区属国有企业工作经历2年及以上，未满2年的累计5年以上工作经历。</w:t>
            </w:r>
          </w:p>
        </w:tc>
        <w:tc>
          <w:tcPr>
            <w:tcW w:w="251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80" w:lineRule="exact"/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  <w:t>具有较强的沟通协调能力；</w:t>
            </w:r>
            <w:r>
              <w:rPr>
                <w:rFonts w:ascii="宋体" w:eastAsia="方正仿宋_GBK" w:hAnsi="宋体"/>
                <w:sz w:val="24"/>
                <w:szCs w:val="24"/>
              </w:rPr>
              <w:t>具有较强的语言表达能力和良好的逻辑思维能力；具有良好的心理素质和应变能力。</w:t>
            </w:r>
          </w:p>
        </w:tc>
      </w:tr>
      <w:tr>
        <w:trPr>
          <w:trHeight w:val="951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9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市场运营岗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不限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  <w:lang w:bidi="ar-SA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40周岁及以下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  <w:lang w:bidi="ar-SA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大学本科及以上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市场营销、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土木工程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  <w:lang w:bidi="ar-SA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助理工程师及以上</w:t>
            </w:r>
          </w:p>
        </w:tc>
        <w:tc>
          <w:tcPr>
            <w:tcW w:w="16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2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/>
        </w:tc>
      </w:tr>
      <w:tr>
        <w:trPr>
          <w:trHeight w:val="1131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综合协调岗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不限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35周岁及以下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大学专科及以上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市场营销、公共事业管理、建筑工程技术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不限</w:t>
            </w:r>
          </w:p>
        </w:tc>
        <w:tc>
          <w:tcPr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/>
        </w:tc>
      </w:tr>
      <w:tr>
        <w:trPr>
          <w:trHeight w:val="91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00" w:lineRule="exact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市场运营二部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市场分析岗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不限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35周岁及以下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大学本科及以上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市场营销、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土木工程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助理工程师及以上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80" w:lineRule="exact"/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  <w:t>区属国有企业工作经历2年及以上，未满2年的累计5年以上工作经历。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80" w:lineRule="exact"/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  <w:t>具有较强的沟通协调能力；</w:t>
            </w:r>
            <w:r>
              <w:rPr>
                <w:rFonts w:ascii="宋体" w:eastAsia="方正仿宋_GBK" w:hAnsi="宋体"/>
                <w:sz w:val="24"/>
                <w:szCs w:val="24"/>
              </w:rPr>
              <w:t>具有较强的语言表达能力和良好的逻辑思维能力；具有良好的心理素质和应变能力。</w:t>
            </w:r>
          </w:p>
        </w:tc>
      </w:tr>
      <w:tr>
        <w:trPr>
          <w:trHeight w:val="971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市场运营岗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不限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  <w:lang w:bidi="ar-SA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35周岁及以下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  <w:lang w:bidi="ar-SA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大学本科及以上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市场营销、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  <w:lang w:bidi="ar-SA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自动化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  <w:lang w:bidi="ar-SA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助理工程师及以上</w:t>
            </w:r>
          </w:p>
        </w:tc>
        <w:tc>
          <w:tcPr>
            <w:tcW w:w="1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2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</w:tr>
      <w:tr>
        <w:trPr>
          <w:trHeight w:val="977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9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综合协调岗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不限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35周岁及以下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大学专科及以上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市场营销、公共事业管理、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建筑工程技术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eastAsia="方正仿宋_GBK" w:hAnsi="宋体"/>
                <w:sz w:val="24"/>
                <w:szCs w:val="24"/>
              </w:rPr>
              <w:t>不限</w:t>
            </w:r>
          </w:p>
        </w:tc>
        <w:tc>
          <w:tcPr>
            <w:tcW w:w="1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2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</w:tr>
      <w:tr>
        <w:trPr>
          <w:trHeight w:val="62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  <w:t>综合部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驾驶员岗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50周岁及以下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高中及以上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  <w:t>驾驶证C照及以上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  <w:t>区属国有企业正式员工，驾驶相关工作经历2年及以上。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  <w:t>具有良好的沟通能力。</w:t>
            </w:r>
          </w:p>
        </w:tc>
      </w:tr>
    </w:tbl>
    <w:p>
      <w:pPr>
        <w:pStyle w:val="15"/>
        <w:ind w:left="0" w:firstLine="0"/>
        <w:rPr>
          <w:rFonts w:ascii="宋体" w:hAnsi="宋体"/>
        </w:rPr>
        <w:sectPr>
          <w:footerReference w:type="default" r:id="rId2"/>
          <w:footerReference w:type="even" r:id="rId3"/>
          <w:pgSz w:w="16840" w:h="11907" w:orient="landscape"/>
          <w:pgMar w:top="1440" w:right="1797" w:bottom="1440" w:left="1797" w:header="851" w:footer="1474" w:gutter="0"/>
          <w:pgNumType/>
          <w:docGrid w:type="linesAndChars" w:linePitch="579" w:charSpace="-841"/>
        </w:sectPr>
      </w:pPr>
    </w:p>
    <w:p>
      <w:pPr>
        <w:pStyle w:val="15"/>
        <w:ind w:left="0" w:firstLine="0"/>
        <w:jc w:val="left"/>
        <w:rPr>
          <w:rFonts w:ascii="宋体" w:eastAsia="方正黑体_GBK" w:hAnsi="宋体"/>
          <w:sz w:val="24"/>
          <w:szCs w:val="24"/>
        </w:rPr>
      </w:pPr>
    </w:p>
    <w:sectPr>
      <w:pgSz w:w="11907" w:h="16840"/>
      <w:pgMar w:top="1797" w:right="1440" w:bottom="1797" w:left="1440" w:header="851" w:footer="1474" w:gutter="0"/>
      <w:pgNumType w:fmt="numberInDash"/>
      <w:docGrid w:type="linesAndChars" w:linePitch="579" w:charSpace="-84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7A"/>
    <w:family w:val="auto"/>
    <w:pitch w:val="variable"/>
    <w:sig w:usb0="00000203" w:usb1="288F0000" w:usb2="00000006" w:usb3="00000000" w:csb0="00040001" w:csb1="00000000"/>
  </w:font>
  <w:font w:name="方正黑体_GBK">
    <w:altName w:val="微软雅黑"/>
    <w:panose1 w:val="03000509000000000000"/>
    <w:charset w:val="86"/>
    <w:family w:val="script"/>
    <w:pitch w:val="variable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variable"/>
    <w:sig w:usb0="00000000" w:usb1="00000000" w:usb2="00000012" w:usb3="00000000" w:csb0="00040001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Times New Roman">
    <w:panose1 w:val="02020603050405020304"/>
    <w:charset w:val="7A"/>
    <w:family w:val="auto"/>
    <w:pitch w:val="variable"/>
    <w:sig w:usb0="E0002EFF" w:usb1="C000785B" w:usb2="00000009" w:usb3="00000000" w:csb0="400001FF" w:csb1="FFFF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6"/>
      <w:tabs>
        <w:tab w:val="center" w:pos="4153"/>
        <w:tab w:val="right" w:pos="8307"/>
      </w:tabs>
      <w:ind w:right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10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524" cy="367664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9524" cy="367664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6"/>
                            <w:tabs>
                              <w:tab w:val="center" w:pos="4153"/>
                              <w:tab w:val="right" w:pos="8307"/>
                            </w:tabs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3" o:spid="_x0000_s3" filled="f" stroked="f" strokeweight="0.5pt" style="position:absolute;margin-left:0.0pt;margin-top:0.0pt;width:0.74998856pt;height:28.949999pt;z-index:10;mso-position-horizontal:outside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6"/>
                      <w:tabs>
                        <w:tab w:val="center" w:pos="4153"/>
                        <w:tab w:val="right" w:pos="8307"/>
                      </w:tabs>
                      <w:rPr>
                        <w:rFonts w:ascii="宋体" w:eastAsia="宋体" w:cs="宋体" w:hint="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displayBackgroundShape/>
  <w:bordersDoNotSurroundHeader w:val="0"/>
  <w:bordersDoNotSurroundFooter w:val="0"/>
  <w:defaultTabStop w:val="420"/>
  <w:evenAndOddHeaders/>
  <w:mirrorMargins/>
  <w:drawingGridHorizontalSpacing w:val="157"/>
  <w:drawingGridVerticalSpacing w:val="289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autoRedefine/>
    <w:next w:val="15"/>
    <w:pPr>
      <w:widowControl w:val="0"/>
      <w:spacing w:line="579" w:lineRule="exact"/>
      <w:jc w:val="both"/>
    </w:pPr>
    <w:rPr>
      <w:rFonts w:ascii="方正黑体_GBK" w:eastAsia="方正黑体_GBK" w:cs="Arial"/>
      <w:spacing w:val="-8"/>
      <w:kern w:val="2"/>
      <w:sz w:val="32"/>
      <w:szCs w:val="32"/>
      <w:lang w:val="en-US" w:eastAsia="zh-CN" w:bidi="ar-SA"/>
    </w:rPr>
  </w:style>
  <w:style w:type="paragraph" w:styleId="1">
    <w:name w:val="heading 1"/>
    <w:basedOn w:val="0"/>
    <w:autoRedefine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autoRedefine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autoRedefine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autoRedefine/>
  </w:style>
  <w:style w:type="paragraph" w:customStyle="1" w:styleId="15">
    <w:name w:val="正文（缩进）"/>
    <w:basedOn w:val="0"/>
    <w:autoRedefine/>
    <w:pPr>
      <w:spacing w:before="156" w:after="156"/>
      <w:ind w:firstLine="480"/>
      <w:jc w:val="both"/>
    </w:pPr>
    <w:rPr>
      <w:spacing w:val="-15"/>
    </w:rPr>
  </w:style>
  <w:style w:type="paragraph" w:styleId="16">
    <w:name w:val="footer"/>
    <w:basedOn w:val="0"/>
    <w:autoRedefine/>
    <w:pPr>
      <w:tabs>
        <w:tab w:val="center" w:pos="4153"/>
        <w:tab w:val="right" w:pos="8307"/>
      </w:tabs>
      <w:snapToGrid w:val="0"/>
      <w:jc w:val="left"/>
    </w:pPr>
    <w:rPr>
      <w:rFonts w:ascii="宋体" w:eastAsia="宋体"/>
      <w:sz w:val="28"/>
      <w:szCs w:val="28"/>
    </w:rPr>
  </w:style>
  <w:style w:type="paragraph" w:styleId="17">
    <w:name w:val="header"/>
    <w:basedOn w:val="0"/>
    <w:autoRedefine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8">
    <w:name w:val="Normal (Web)"/>
    <w:autoRedefine/>
    <w:pPr>
      <w:widowControl w:val="0"/>
      <w:spacing w:line="240" w:lineRule="auto"/>
      <w:jc w:val="both"/>
    </w:pPr>
    <w:rPr>
      <w:rFonts w:ascii="宋体" w:eastAsia="方正仿宋_GBK" w:cs="Arial" w:hAnsi="宋体"/>
      <w:kern w:val="2"/>
      <w:sz w:val="24"/>
      <w:szCs w:val="44"/>
      <w:lang w:val="en-US" w:eastAsia="zh-CN" w:bidi="ar-SA"/>
    </w:rPr>
  </w:style>
  <w:style w:type="paragraph" w:styleId="19">
    <w:name w:val="Body Text First Indent 2"/>
    <w:autoRedefine/>
    <w:pPr>
      <w:widowControl w:val="0"/>
      <w:spacing w:after="120" w:line="240" w:lineRule="auto"/>
      <w:ind w:left="420" w:firstLine="420"/>
      <w:jc w:val="both"/>
    </w:pPr>
    <w:rPr>
      <w:rFonts w:ascii="宋体" w:eastAsia="方正仿宋_GBK" w:cs="Arial" w:hAnsi="宋体"/>
      <w:kern w:val="2"/>
      <w:sz w:val="32"/>
      <w:szCs w:val="44"/>
      <w:lang w:val="en-US" w:eastAsia="zh-CN" w:bidi="ar-SA"/>
    </w:rPr>
  </w:style>
  <w:style w:type="character" w:styleId="20">
    <w:name w:val="page number"/>
    <w:basedOn w:val="10"/>
    <w:autoRedefine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406</TotalTime>
  <Application>Yozo_Office</Application>
  <Pages>4</Pages>
  <Words>1328</Words>
  <Characters>1355</Characters>
  <Lines>316</Lines>
  <Paragraphs>194</Paragraphs>
  <CharactersWithSpaces>1354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1</cp:revision>
  <cp:lastPrinted>2024-04-14T08:51:00Z</cp:lastPrinted>
  <dcterms:created xsi:type="dcterms:W3CDTF">2020-07-08T09:34:00Z</dcterms:created>
  <dcterms:modified xsi:type="dcterms:W3CDTF">2024-04-28T07:17:44Z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2052-12.1.0.16729</vt:lpwstr>
  </property>
  <property fmtid="{D5CDD505-2E9C-101B-9397-08002B2CF9AE}" pid="3" name="ICV">
    <vt:lpwstr>0EBFE8CD4FA24BCB88AE509D5C64C677</vt:lpwstr>
  </property>
</Properties>
</file>