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2" w:type="dxa"/>
        <w:tblInd w:w="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377"/>
        <w:gridCol w:w="378"/>
        <w:gridCol w:w="378"/>
        <w:gridCol w:w="377"/>
        <w:gridCol w:w="378"/>
        <w:gridCol w:w="73"/>
        <w:gridCol w:w="305"/>
        <w:gridCol w:w="378"/>
        <w:gridCol w:w="377"/>
        <w:gridCol w:w="378"/>
        <w:gridCol w:w="378"/>
        <w:gridCol w:w="89"/>
        <w:gridCol w:w="288"/>
        <w:gridCol w:w="378"/>
        <w:gridCol w:w="378"/>
        <w:gridCol w:w="378"/>
        <w:gridCol w:w="377"/>
        <w:gridCol w:w="378"/>
        <w:gridCol w:w="378"/>
        <w:gridCol w:w="3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864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6"/>
                <w:szCs w:val="36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36"/>
                <w:szCs w:val="36"/>
                <w:lang w:bidi="ar"/>
              </w:rPr>
              <w:t>就业困难人员认定表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公民身份号码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（社会保障号）</w:t>
            </w: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720" w:firstLineChars="3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居住地址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360" w:lineRule="auto"/>
              <w:ind w:firstLine="840" w:firstLineChars="35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     市       县（区）     街道（乡镇）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户籍性质</w:t>
            </w:r>
          </w:p>
        </w:tc>
        <w:tc>
          <w:tcPr>
            <w:tcW w:w="19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9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认定困难类别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□低收入人口的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□女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周岁以上、男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周岁以上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□残疾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□连续失业一年以上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□城市规划区范围内的被征地农民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□优抚对象家庭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□城镇零就业家庭和农村零转移家庭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□特困职工家庭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□军队退役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的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</w:t>
            </w:r>
          </w:p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□设区市人民政府确定的其他就业困难人员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认定时间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初审意见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复审意见</w:t>
            </w:r>
          </w:p>
        </w:tc>
        <w:tc>
          <w:tcPr>
            <w:tcW w:w="679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经办机构（盖章）</w:t>
            </w:r>
          </w:p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ind w:firstLine="4560" w:firstLineChars="190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ODM5NmNhNzhlMWNlYjZkMDgyNGRhNDIyMGE4NTgifQ=="/>
  </w:docVars>
  <w:rsids>
    <w:rsidRoot w:val="1A1C35F9"/>
    <w:rsid w:val="1A1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2024-04-15T02:08:00Z</dcterms:created>
  <dc:creator>宇宙超级酷炫球</dc:creator>
  <cp:lastModifiedBy>宇宙超级酷炫球</cp:lastModifiedBy>
  <dcterms:modified xsi:type="dcterms:W3CDTF">2024-04-15T02:09:28Z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7AB97E3058564B7CA61E678A3543DE39_11</vt:lpwstr>
  </property>
</Properties>
</file>