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河北冀翔通电子科技有限公司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2024年社会招聘公告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根据发展规划和业务拓展需要，吸引聚集优秀人才，河北冀翔通电子科技有限公司（以下简称“冀翔通公司”）面向社会公开招聘优秀人才。具体招聘公告如下：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冀翔通公司是河北高速公路集团有限公司全资子公司，由原河北省高速公路管理局指挥调度中心改组成立，主要负责智能交通板块业务，以智慧交通项目建设运维、智慧交通产品研发制造、大数据开发应用、ETC运营为主营业务发展方向。公司自成立以来，以服务构建河北高速集团“1＋N”战略格局为引领，以推进转型升级和业务突破为重点，以做强做优智慧交通板块为目标，围绕核心资源积极拓展交通领域相关新业务，努力把公司建设成为中国智慧交通领域一流的科技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机电工程公司作为冀翔通公司所属分公司，主要承揽行业内外公路交通机电专项工程、新（改、扩）建机电工程、智慧化项目建设业务；承揽轨道交通工程、管廊工程、通信工程、计算机集成等业务；承揽集团公司机电设施设备日常维护、公司内部机电设施设备日常维护；承揽行业内外公路交通、轨道交通、管廊和通信行业机电设施设备维护业务等业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招聘优秀人才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19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名。其中，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软件开发岗位5名；机电工程建造师岗位10名；机电工程造价师岗位2名；市场开拓岗位2名。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（二）拥护中国共产党的领导，认真贯彻党的路线方针政策，思想政治素质好，具有良好的道德品质和职业操守。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（三）具有与招聘岗位要求相适应的年龄、学历、专业和技能等条件。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（四）身体健康，无色弱、色盲，无传染疾病，具有正常履行岗位职责的身体条件，体检按《公务员录用体检通用标准（试行）》掌握和执行。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（五）认同并自觉遵守河北高速集团及冀翔通公司企业文化和人才理念，具有较强的事业心和较高的创业热诚，能够服从冀翔通公司对岗位的安排和调整。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（六）具体资格条件详见《河北冀翔通电子科技有限公司202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年社会招聘需求信息表》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（一）发布公告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公告时间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：2024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4月11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日。公告在河北高速集团官网、官微及集团所属单位官网发布，并在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智联招聘</w:t>
      </w: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（二）网上报名和资格初审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报名及资格初审时间：2024年3月28日12:00至4月11日17:30，逾期不再受理。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1.应聘人员须于报名期间在以下网址</w:t>
      </w:r>
      <w:bookmarkStart w:id="0" w:name="_GoBack"/>
      <w:bookmarkEnd w:id="0"/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登录报名：</w:t>
      </w:r>
      <w:r>
        <w:rPr>
          <w:rFonts w:hint="eastAsia" w:ascii="仿宋_GB2312" w:eastAsia="仿宋_GB2312" w:cs="仿宋_GB2312" w:hAnsiTheme="minorHAnsi"/>
          <w:strike w:val="0"/>
          <w:dstrike/>
          <w:kern w:val="0"/>
          <w:sz w:val="32"/>
          <w:szCs w:val="32"/>
          <w:lang w:val="en-US" w:eastAsia="zh-CN" w:bidi="ar"/>
        </w:rPr>
        <w:t>https://hbgs2023.zhaopin.com，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按照报名要求进行注册、选择应聘岗位、填写信息并上传相关资料。</w:t>
      </w:r>
    </w:p>
    <w:p>
      <w:pPr>
        <w:pStyle w:val="2"/>
        <w:spacing w:after="0" w:line="560" w:lineRule="exact"/>
        <w:ind w:firstLine="640"/>
        <w:jc w:val="both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以及其他需要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上传的证明材料等。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3.报名时应当仔细阅读《诚信应聘承诺书》（附件2），下载《诚信应聘承诺书》签名后拍照上传至报名系统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按要求做好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报名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相关工作。应聘人员所填报、提交的所有信息应当真实、准确、完整、有效，不符合应聘条件的请勿报名。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4.应聘人员只能选择一个岗位报名，请慎重选择。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5.根据应聘条件对应聘者进行资格审查，并确定参加初试名单。未按要求上传材料、提交信息不完整、不真实、不符合招聘岗位资格条件以及不符合回避要求的均视为不合格。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具体岗位招聘计划人数与报名人数比例不低于1:3，达不到该比例的，按比例减少该岗位招聘人数直至取消该岗位招聘计划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7.岗位招聘计划人数与资格初审合格人数比例高于1:10的，增加笔试环节，根据笔试成绩，由高到低排序，按照1:10的比例确定初试人选，比例内末位笔试成绩并列者均进入初试。比例不高于1:10的，全面进入初试。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（三）初试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1.初试为线下面试，应聘者务于初试前30分钟凭身份证（或临时身份证）入场。迟到者不得进入考场。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初试满分100分，时间10分钟。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初试成绩仅作为进入复试环节的筛选，不计入最终成绩。分岗位由高分至低分排序，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人数与进入复试人数1: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的，全部进入复试。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初试成绩低于70分不得进入复试。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（四）复试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复试为线下面试，应聘者务于复试前30分钟凭身份证（或临时身份证）入场，迟到者不得进入考场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复试采取半结构化面试方式进行，满分100分，时间30分钟。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复试成绩分岗位从高分到低分顺序排列，按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招聘岗位计划人数1:1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比例确定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进入体检环节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人选。比例内末位考生复试成绩如出现并列，按以下顺序确定人选：学历（学位）较高者，具有相关工作经历或经验较长者。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.如有应聘人员在复试前放弃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参加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则不再进行递补。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复试成绩低于70分不得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进入下一环节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）体检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体检安排以短信或电话形式通知本人。体检不符合岗位要求者不进入此后招录环节。应聘者对体检结果有疑议的，可以按照规定提出复检。体检结果以复检结论为准。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）背景调查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（七）公示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人员将在河北高速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（八）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default" w:ascii="楷体_GB2312" w:hAnsi="仿宋_GB2312" w:eastAsia="楷体_GB2312" w:cs="仿宋_GB2312"/>
          <w:color w:val="000000"/>
          <w:kern w:val="0"/>
          <w:sz w:val="32"/>
          <w:szCs w:val="32"/>
        </w:rPr>
        <w:t>方式及薪酬待遇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本次招聘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四、注意事项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（一）资格审查贯穿招聘全过程。应聘人员有下列情形之一的，取消应聘资格和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资格，并由个人承担一切责任：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1.提供的应聘资料存在弄虚作假的。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2.初试、复试过程中存在作弊行为的。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3.经核实不符合报考资格条件、不符合岗位要求、不符合回避要求的。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4.拟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人员报到时无法提供毕业证、学位证的。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5.在招聘过程中存在其他影响招聘工作行为的。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（三）冀翔通公司有权根据岗位需求变化及报名情况等因素，调整、取消或终止个别岗位的招聘工作，并对本次招聘享有最终解释权。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（四）咨询电话：0311-66620651、0311-66620715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咨询时间：工作日8:30-17:30。报名系统技术支持电话：17863973574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2"/>
        <w:spacing w:after="0" w:line="560" w:lineRule="exact"/>
        <w:ind w:firstLine="640"/>
        <w:jc w:val="both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附件：1.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"http://oss.nuoyoukao.com/762d4df52b1f4ab9902ffb2310aee1bf.xlsx"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河北冀翔通电子科技有限公司202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会</w:t>
      </w:r>
    </w:p>
    <w:p>
      <w:pPr>
        <w:pStyle w:val="2"/>
        <w:spacing w:after="0" w:line="560" w:lineRule="exact"/>
        <w:ind w:firstLine="1920" w:firstLineChars="60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招聘需求信息表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spacing w:after="0" w:line="560" w:lineRule="exact"/>
        <w:ind w:firstLine="1600" w:firstLineChars="50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"http://oss.nuoyoukao.com/64cab60f96ed46bfa702665c770ebe4e.doc"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2"/>
        <w:spacing w:after="0" w:line="560" w:lineRule="exact"/>
        <w:ind w:firstLine="640"/>
        <w:jc w:val="both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wordWrap/>
        <w:spacing w:after="0" w:line="560" w:lineRule="exact"/>
        <w:ind w:firstLine="640"/>
        <w:jc w:val="right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河北冀翔通电子科技有限公司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pStyle w:val="2"/>
        <w:wordWrap/>
        <w:spacing w:after="0" w:line="560" w:lineRule="exact"/>
        <w:ind w:firstLine="640"/>
        <w:jc w:val="center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000000"/>
    <w:rsid w:val="01BF37C7"/>
    <w:rsid w:val="02C67368"/>
    <w:rsid w:val="06D80E87"/>
    <w:rsid w:val="07622009"/>
    <w:rsid w:val="0C393C22"/>
    <w:rsid w:val="0C525237"/>
    <w:rsid w:val="0D9B09D1"/>
    <w:rsid w:val="1055263A"/>
    <w:rsid w:val="13543051"/>
    <w:rsid w:val="14B270F7"/>
    <w:rsid w:val="161B669A"/>
    <w:rsid w:val="16D90876"/>
    <w:rsid w:val="195D7925"/>
    <w:rsid w:val="1AA93651"/>
    <w:rsid w:val="1E646DDF"/>
    <w:rsid w:val="1FAF67D1"/>
    <w:rsid w:val="20034B28"/>
    <w:rsid w:val="20855D47"/>
    <w:rsid w:val="228B2005"/>
    <w:rsid w:val="23D762F6"/>
    <w:rsid w:val="2B1A2181"/>
    <w:rsid w:val="2E075A2A"/>
    <w:rsid w:val="2FC50540"/>
    <w:rsid w:val="309B0E6F"/>
    <w:rsid w:val="346C4839"/>
    <w:rsid w:val="34C75F13"/>
    <w:rsid w:val="354E2190"/>
    <w:rsid w:val="35567961"/>
    <w:rsid w:val="356A1C8B"/>
    <w:rsid w:val="36746DD3"/>
    <w:rsid w:val="384743EF"/>
    <w:rsid w:val="3AD849D6"/>
    <w:rsid w:val="3B9C1EA7"/>
    <w:rsid w:val="3CE606E3"/>
    <w:rsid w:val="3DF13694"/>
    <w:rsid w:val="3E2D1F87"/>
    <w:rsid w:val="41ED7AB2"/>
    <w:rsid w:val="4260681B"/>
    <w:rsid w:val="435B43F6"/>
    <w:rsid w:val="43846E49"/>
    <w:rsid w:val="483366C4"/>
    <w:rsid w:val="487D56FD"/>
    <w:rsid w:val="4ADB10EA"/>
    <w:rsid w:val="4C883866"/>
    <w:rsid w:val="4D4031D6"/>
    <w:rsid w:val="4E110612"/>
    <w:rsid w:val="4EDA6958"/>
    <w:rsid w:val="5C02543D"/>
    <w:rsid w:val="6144730B"/>
    <w:rsid w:val="64815276"/>
    <w:rsid w:val="698931BC"/>
    <w:rsid w:val="6A1D6BCA"/>
    <w:rsid w:val="6C9C6D62"/>
    <w:rsid w:val="6CD11DBB"/>
    <w:rsid w:val="6DD469CF"/>
    <w:rsid w:val="74B85E56"/>
    <w:rsid w:val="74FA5650"/>
    <w:rsid w:val="76C07AF1"/>
    <w:rsid w:val="78484242"/>
    <w:rsid w:val="7B6E2211"/>
    <w:rsid w:val="7DA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2767</Words>
  <Characters>3036</Characters>
  <Lines>0</Lines>
  <Paragraphs>0</Paragraphs>
  <TotalTime>0</TotalTime>
  <ScaleCrop>false</ScaleCrop>
  <LinksUpToDate>false</LinksUpToDate>
  <CharactersWithSpaces>3172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ggj</dc:creator>
  <cp:lastModifiedBy>秦蒙</cp:lastModifiedBy>
  <cp:lastPrinted>2024-03-27T12:14:00Z</cp:lastPrinted>
  <dcterms:modified xsi:type="dcterms:W3CDTF">2024-03-28T01:18:14Z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0265B23A182E4FFF928C67C072198621_13</vt:lpwstr>
  </property>
</Properties>
</file>