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44"/>
          <w:szCs w:val="44"/>
          <w:lang w:eastAsia="zh-CN"/>
        </w:rPr>
        <w:t>河池市金城江区公益性岗位招聘公告情况表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编制单位：河池市金城江区人力资源和社会保障局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tbl>
      <w:tblPr>
        <w:tblStyle w:val="3"/>
        <w:tblpPr w:leftFromText="180" w:rightFromText="180" w:vertAnchor="text" w:horzAnchor="page" w:tblpX="1621" w:tblpY="120"/>
        <w:tblOverlap w:val="never"/>
        <w:tblW w:w="14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503"/>
        <w:gridCol w:w="875"/>
        <w:gridCol w:w="1058"/>
        <w:gridCol w:w="4134"/>
        <w:gridCol w:w="1641"/>
        <w:gridCol w:w="249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薪酬待遇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工作内容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工作地点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河池市金城江区就业服务中心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办事员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由区人力资源和保障部门从就业专项资金中，按标准支付岗位补贴和社会保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补贴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负责协助本单位办公室工作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河池市金城江区就业服务中心前台或办公室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河池市金城江区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第十一小学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保洁人员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由区人力资源和保障部门从就业专项资金中，按标准支付岗位补贴和社会保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补贴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负责本校区域保洁、保绿工作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本校区范围内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河池市金城江区社会保险事业管理中心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办事员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由区人力资源和保障部门从就业专项资金中，按标准支付岗位补贴和社会保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补贴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内勤工作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河池市金城江区社会保险事业管理中心所管辖的范围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1F497D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河池市金城江区文化广电体育旅游局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办事员</w:t>
            </w:r>
          </w:p>
        </w:tc>
        <w:tc>
          <w:tcPr>
            <w:tcW w:w="4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由区人力资源和保障部门从就业专项资金中，按标准支付岗位补贴和社会保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补贴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  <w:t>负责协助本单位办公室工作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河池市金城江区办公区域范围内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066" w:right="1270" w:bottom="106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7C263F38"/>
    <w:rsid w:val="7C2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2024-03-18T02:58:00Z</dcterms:created>
  <dc:creator>Administrator</dc:creator>
  <cp:lastModifiedBy>Administrator</cp:lastModifiedBy>
  <dcterms:modified xsi:type="dcterms:W3CDTF">2024-03-18T02:59:26Z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476D26200D0C4BEC8AB506549D62D4CC_11</vt:lpwstr>
  </property>
</Properties>
</file>