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0" w:rightChars="0"/>
        <w:jc w:val="center"/>
        <w:rPr>
          <w:rFonts w:hint="eastAsia" w:ascii="方正小标宋简体" w:hAnsi="宋体" w:eastAsia="方正小标宋简体"/>
          <w:bCs/>
          <w:color w:val="auto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auto"/>
          <w:sz w:val="36"/>
          <w:szCs w:val="36"/>
          <w:lang w:val="en-US" w:eastAsia="zh-CN"/>
        </w:rPr>
        <w:t>2024</w:t>
      </w:r>
      <w:r>
        <w:rPr>
          <w:rFonts w:hint="eastAsia" w:ascii="方正小标宋简体" w:hAnsi="宋体" w:eastAsia="方正小标宋简体"/>
          <w:bCs/>
          <w:color w:val="auto"/>
          <w:sz w:val="36"/>
          <w:szCs w:val="36"/>
        </w:rPr>
        <w:t>年浙江广电象山影视（基地）有限公司岗位招聘表</w:t>
      </w:r>
    </w:p>
    <w:tbl>
      <w:tblPr>
        <w:tblStyle w:val="3"/>
        <w:tblpPr w:leftFromText="181" w:rightFromText="181" w:vertAnchor="text" w:tblpX="-647" w:tblpY="284"/>
        <w:tblOverlap w:val="never"/>
        <w:tblW w:w="9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713"/>
        <w:gridCol w:w="3562"/>
        <w:gridCol w:w="4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岗位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招聘人数</w:t>
            </w:r>
          </w:p>
        </w:tc>
        <w:tc>
          <w:tcPr>
            <w:tcW w:w="3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招聘要求</w:t>
            </w:r>
          </w:p>
        </w:tc>
        <w:tc>
          <w:tcPr>
            <w:tcW w:w="4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业态运营岗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356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大专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以上学历，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专业不限；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良好的沟通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表达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能力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执行力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抗压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能力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3、热爱学习新知识、热爱团队工作，良好的执行力及抗压性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有业态管理经验者优先；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、年龄要求：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周岁以下。</w:t>
            </w:r>
          </w:p>
        </w:tc>
        <w:tc>
          <w:tcPr>
            <w:tcW w:w="415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负责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业态日常运营管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理工作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，如销售分析、产品制作、陈列调整、店铺运营、顾客服务、库存管理、活动执行等；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协助内部团队管理工作，帮助并指导业态内伙伴的工作并给予反馈；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与店内伙伴和顾客保持密切的沟通，提升店内伙伴工作积极性和顾客满意度；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完成领导交办的其他工作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任务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医护人员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1人</w:t>
            </w:r>
          </w:p>
        </w:tc>
        <w:tc>
          <w:tcPr>
            <w:tcW w:w="356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医学、护理等相关专业，大专以上学历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2、具有良好的护理业务水平，持有医护相关从业资格证，具备应急医疗事故处理能力，有景区相关工作经验者优先；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3、具有良好的团队合作精神、良好的医患沟通能力和服务意识；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4、熟悉医务室常规药品和医疗器械的申购、管护、使用；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年龄要求：35周岁以下。</w:t>
            </w:r>
          </w:p>
        </w:tc>
        <w:tc>
          <w:tcPr>
            <w:tcW w:w="41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1、负责景区医务室的日常管理工作；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2、负责游客的应急医疗事件处理；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3、负责研学学生接待及应急医疗处理。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教官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1人</w:t>
            </w:r>
          </w:p>
        </w:tc>
        <w:tc>
          <w:tcPr>
            <w:tcW w:w="3562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司法警官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等相关专业，大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专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以上学历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性格开朗，具有较好的交流能力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具有较强的执行力和团队合作精神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，应急处理能力强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服从意识强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、年龄要求：35周岁以下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；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、退伍军人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优先，可适当放宽上述招聘要求。</w:t>
            </w:r>
          </w:p>
        </w:tc>
        <w:tc>
          <w:tcPr>
            <w:tcW w:w="415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1、负责营地学生的军事化管理工作，制定军事化研学产品和实施管理计划，合理制定方案、措施并组织实施；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2、贯彻执行营地的各项规章制度，管好学生的组织纪律和行为规范，并参照《营地管理条例》搞好学生日常内务等军事化管理工作；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3、负责营地和学生课余的安全保卫工作，并且按照相关安全规定认真负责的执行任务，充分发挥安全保卫工作第一线的作用，确保营地无事故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eastAsia="zh-CN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CCA552"/>
    <w:multiLevelType w:val="singleLevel"/>
    <w:tmpl w:val="BFCCA55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6291EBE"/>
    <w:multiLevelType w:val="singleLevel"/>
    <w:tmpl w:val="C6291EB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5A0052C"/>
    <w:multiLevelType w:val="singleLevel"/>
    <w:tmpl w:val="D5A0052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D16E60F"/>
    <w:multiLevelType w:val="singleLevel"/>
    <w:tmpl w:val="FD16E6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00000000"/>
    <w:rsid w:val="12C2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2024-03-05T06:53:34Z</dcterms:created>
  <dc:creator>Administrator</dc:creator>
  <cp:lastModifiedBy>善逝</cp:lastModifiedBy>
  <dcterms:modified xsi:type="dcterms:W3CDTF">2024-03-05T06:53:53Z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12D2EB819F814F948EBACE51754FFB4F_12</vt:lpwstr>
  </property>
</Properties>
</file>