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default" w:ascii="Times New Roman" w:hAnsi="Times New Roman" w:eastAsia="微软雅黑" w:cs="Times New Roman"/>
          <w:spacing w:val="-6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center"/>
        <w:textAlignment w:val="auto"/>
        <w:rPr>
          <w:rFonts w:hint="default" w:ascii="Times New Roman" w:hAnsi="Times New Roman" w:eastAsia="微软雅黑" w:cs="Times New Roman"/>
          <w:spacing w:val="-6"/>
          <w:sz w:val="44"/>
          <w:szCs w:val="44"/>
        </w:rPr>
      </w:pPr>
      <w:bookmarkStart w:id="0" w:name="_GoBack"/>
      <w:r>
        <w:rPr>
          <w:rFonts w:hint="default" w:ascii="Times New Roman" w:hAnsi="Times New Roman" w:eastAsia="微软雅黑" w:cs="Times New Roman"/>
          <w:spacing w:val="-6"/>
          <w:sz w:val="44"/>
          <w:szCs w:val="44"/>
          <w:lang w:val="en-US" w:eastAsia="zh-CN"/>
        </w:rPr>
        <w:t>四川天盈实业有限责任公司</w:t>
      </w:r>
      <w:r>
        <w:rPr>
          <w:rFonts w:hint="default" w:ascii="Times New Roman" w:hAnsi="Times New Roman" w:eastAsia="微软雅黑" w:cs="Times New Roman"/>
          <w:spacing w:val="-6"/>
          <w:sz w:val="44"/>
          <w:szCs w:val="44"/>
        </w:rPr>
        <w:t>面向社会公开招聘</w:t>
      </w:r>
      <w:r>
        <w:rPr>
          <w:rFonts w:hint="default" w:ascii="Times New Roman" w:hAnsi="Times New Roman" w:eastAsia="微软雅黑" w:cs="Times New Roman"/>
          <w:spacing w:val="-6"/>
          <w:sz w:val="44"/>
          <w:szCs w:val="44"/>
          <w:lang w:val="en-US" w:eastAsia="zh-CN"/>
        </w:rPr>
        <w:t>职业经理人</w:t>
      </w:r>
      <w:r>
        <w:rPr>
          <w:rFonts w:hint="default" w:ascii="Times New Roman" w:hAnsi="Times New Roman" w:eastAsia="微软雅黑" w:cs="Times New Roman"/>
          <w:spacing w:val="-6"/>
          <w:sz w:val="44"/>
          <w:szCs w:val="44"/>
        </w:rPr>
        <w:t>岗位需求表</w:t>
      </w:r>
    </w:p>
    <w:bookmarkEnd w:id="0"/>
    <w:tbl>
      <w:tblPr>
        <w:tblStyle w:val="2"/>
        <w:tblpPr w:leftFromText="180" w:rightFromText="180" w:vertAnchor="text" w:horzAnchor="page" w:tblpX="1633" w:tblpY="253"/>
        <w:tblOverlap w:val="never"/>
        <w:tblW w:w="1375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650"/>
        <w:gridCol w:w="2138"/>
        <w:gridCol w:w="958"/>
        <w:gridCol w:w="923"/>
        <w:gridCol w:w="2477"/>
        <w:gridCol w:w="3398"/>
        <w:gridCol w:w="2620"/>
      </w:tblGrid>
      <w:tr>
        <w:trPr>
          <w:trHeight w:val="102" w:hRule="atLeast"/>
          <w:jc w:val="center"/>
        </w:trPr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103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应聘资格条件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职级要求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其他资格条件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职业经理人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统筹负责公司资产运营管理，建立健全运营机制和服务体系；公司已建成可运营资产经营管理；公司闲置资产盘活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孵化器合作项目的投资管理、入住企业服务、渠道维护与联系、展厅维护、物业与租赁管理等工作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40周岁及以下（即1982年12月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日及以后出生）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本科：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经济学类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财政学类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金融学类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经济与贸易类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工商管理类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公共管理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汉语言文学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类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u w:val="none"/>
                <w:lang w:val="en-US" w:eastAsia="zh-CN" w:bidi="ar"/>
              </w:rPr>
              <w:t>研究生：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理论经济学、应用经济学、金融、税务、保险、数字经济、财政学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工商管理（学）、国际商务、资产评估、审计、会计、公共管理（学）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机关和事业单位人员报名须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上一年度考核称职或以上，并符合以下条件之一：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现任副科级领导干部（或相当职务)；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②参加工作满4年。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2.国有企业人员报名须符合以下条件之一：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①现任或曾任央企、省属、市属、县（区）属国企相似于副科及以上职务层次；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②现任央企、省属、市属、县（区）属国企中层正职3年以上。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3.非国有企业人员报名须符合以下条件之一：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①现任或曾任大中型企业副总经理（或相当职务）及以上；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②现任大中型企业中层正职满3年的经营管理人员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。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1.熟悉财会、金融、国资相关政策法规；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2.具有很强企业管理、市场洞察、策划组织、业务谈判及公关能力；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3.具有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丰富的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资产运营管理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工作经验；</w:t>
            </w:r>
          </w:p>
          <w:p>
            <w:pPr>
              <w:widowControl w:val="0"/>
              <w:jc w:val="both"/>
              <w:rPr>
                <w:rFonts w:hint="default" w:ascii="宋体" w:hAnsi="Courier New" w:eastAsia="宋体" w:cs="Courier New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具有较强的文字功底与写作能力</w:t>
            </w:r>
            <w:r>
              <w:rPr>
                <w:rFonts w:hint="eastAsia" w:ascii="宋体" w:hAnsi="Courier New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.取得博士研究生学历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，或有3年及以上相关工作经历的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年龄可放宽至45周岁（即1977年12月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日及以后出生）。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074F22"/>
    <w:multiLevelType w:val="singleLevel"/>
    <w:tmpl w:val="B4074F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C3405"/>
    <w:rsid w:val="4D8C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2023-12-15T01:08:00Z</dcterms:created>
  <dc:creator>x</dc:creator>
  <cp:lastModifiedBy>x</cp:lastModifiedBy>
  <dcterms:modified xsi:type="dcterms:W3CDTF">2023-12-15T01:09:16Z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F23F616E15454C31A44EE6BE6F72E16C</vt:lpwstr>
  </property>
</Properties>
</file>