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微软雅黑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微软雅黑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微软雅黑" w:cs="Times New Roman"/>
          <w:kern w:val="2"/>
          <w:sz w:val="44"/>
          <w:szCs w:val="44"/>
          <w:lang w:val="en-US" w:eastAsia="zh-CN" w:bidi="ar-SA"/>
        </w:rPr>
        <w:t>四川天盈实业有限责任公司简介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川天盈实业有限责任公司（以下简称天盈公司）成立于2008年2月，由市国有资产监督管理委员会、国开发展基金有限公司分别持股91.53%、8.47%共同出资组建的市级国有公司。天盈公司注册资本21.85亿元，信用等级为AA，接受市国资委、高新区管理委员会领导和管理。天盈公司主要承担政府类基础设施建设、公益类建设职能，通过重点开展城市基础设施建设、土地整理开发、市政服务、绿化养护、项目代建、房产开发等业务,为园区城市建设与经营、产业发展与投资、公共服务与管理等领域的发展提供坚强有力的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2CD7"/>
    <w:rsid w:val="14D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2023-12-15T01:09:00Z</dcterms:created>
  <dc:creator>x</dc:creator>
  <cp:lastModifiedBy>x</cp:lastModifiedBy>
  <dcterms:modified xsi:type="dcterms:W3CDTF">2023-12-15T01:10:02Z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3E4E725A9E764C6A95516A0CC53EBFB9</vt:lpwstr>
  </property>
</Properties>
</file>