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5"/>
        <w:gridCol w:w="795"/>
        <w:gridCol w:w="780"/>
        <w:gridCol w:w="780"/>
        <w:gridCol w:w="1785"/>
        <w:gridCol w:w="1335"/>
        <w:gridCol w:w="3900"/>
        <w:gridCol w:w="219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13985" w:type="dxa"/>
            <w:gridSpan w:val="9"/>
            <w:tcBorders>
              <w:top w:val="nil"/>
              <w:left w:val="nil"/>
              <w:bottom w:val="single" w:color="000000" w:sz="4" w:space="0"/>
              <w:right w:val="nil"/>
            </w:tcBorders>
            <w:noWrap/>
            <w:vAlign w:val="center"/>
          </w:tcPr>
          <w:p>
            <w:pPr>
              <w:widowControl/>
              <w:adjustRightInd w:val="0"/>
              <w:snapToGrid w:val="0"/>
              <w:spacing w:line="580" w:lineRule="exact"/>
              <w:jc w:val="left"/>
              <w:rPr>
                <w:rFonts w:eastAsia="黑体"/>
                <w:color w:val="000000"/>
                <w:kern w:val="0"/>
                <w:sz w:val="30"/>
                <w:szCs w:val="30"/>
              </w:rPr>
            </w:pPr>
            <w:r>
              <w:rPr>
                <w:rFonts w:eastAsia="黑体"/>
                <w:color w:val="000000"/>
                <w:kern w:val="0"/>
                <w:sz w:val="30"/>
                <w:szCs w:val="30"/>
              </w:rPr>
              <w:t>附件1</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安徽省金龙国有投资控股集团有限公司公开招聘工作人员岗位计划表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招聘部门</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岗位</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招聘人数</w:t>
            </w:r>
          </w:p>
        </w:tc>
        <w:tc>
          <w:tcPr>
            <w:tcW w:w="7800"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岗位资格条件和要求</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考试科目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4"/>
                <w:szCs w:val="24"/>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学历</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年龄</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其他</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笔试</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综合管理部</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汉语言文学、汉语言、新闻学、秘书学</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35周岁以下</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4"/>
                <w:lang w:val="en-US" w:eastAsia="zh-CN" w:bidi="ar"/>
              </w:rPr>
              <w:t>具有2年以上（含2年）文员工作经历。</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满分120分，其中公共基础知识50分，相应岗位测试知识70分</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结构化面试,满分100分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3"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审计法务部</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法学类</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35周岁以下</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1.具有2年以上（含2年）法律事务工作经历。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2.取得法律职业资格证，年龄可放宽至40周岁。</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满分120分，其中公共基础知识50分，相应岗位测试知识70分</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结构化面试,满分100分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计划财务部</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会计、财务管理、审计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35周岁以下</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1.具有会计、审计专业初级资格证书，且有2年以上（含2年）财务、审计工作经历。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2.具有会计、审计专业中级资格证书及以上，年龄可放宽至40周岁。</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满分120分，其中公共基础知识50分，相应岗位测试知识70分</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结构化面试,满分100分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融资管理部</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财经商贸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大类</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35周岁以下</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1.具有2年以上（含2年）银行、金融机构、会计师事务所工作经历。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2.需经常出差。</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满分120分，其中公共基础知识50分，相应岗位测试知识70分</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结构化面试,满分100分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工程管理部</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土木建筑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大类</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35周岁以下</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1.具有建筑工程二级及以上建造师执业资格证书，且有3年以上（含3年）建筑行业工作经历。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2.需常驻项目工地。</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满分120分，其中公共基础知识50分，相应岗位测试知识70分</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结构化面试,满分100分</w:t>
            </w:r>
          </w:p>
        </w:tc>
      </w:tr>
    </w:tbl>
    <w:p>
      <w:pPr>
        <w:widowControl/>
        <w:adjustRightInd w:val="0"/>
        <w:snapToGrid w:val="0"/>
        <w:spacing w:line="580" w:lineRule="exact"/>
        <w:jc w:val="left"/>
        <w:rPr>
          <w:rFonts w:eastAsia="黑体"/>
          <w:color w:val="000000"/>
          <w:kern w:val="0"/>
          <w:sz w:val="30"/>
          <w:szCs w:val="30"/>
        </w:rPr>
        <w:sectPr>
          <w:pgSz w:w="16838" w:h="11906" w:orient="landscape"/>
          <w:pgMar w:top="1588" w:right="1417" w:bottom="1588" w:left="1417" w:header="851" w:footer="992" w:gutter="0"/>
          <w:pgBorders>
            <w:top w:val="none" w:sz="0" w:space="0"/>
            <w:left w:val="none" w:sz="0" w:space="0"/>
            <w:bottom w:val="none" w:sz="0" w:space="0"/>
            <w:right w:val="none" w:sz="0" w:space="0"/>
          </w:pgBorders>
          <w:cols w:space="720" w:num="1"/>
          <w:docGrid w:type="lines"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yNzBhNzIzNWM3M2RkYjNkZDM2MjAyMWJmOTNlYzQifQ=="/>
  </w:docVars>
  <w:rsids>
    <w:rsidRoot w:val="414547D2"/>
    <w:rsid w:val="4145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2023-12-13T02:25:00Z</dcterms:created>
  <dc:creator>HYPC23</dc:creator>
  <cp:lastModifiedBy>HYPC23</cp:lastModifiedBy>
  <dcterms:modified xsi:type="dcterms:W3CDTF">2023-12-13T02:26:02Z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7B8080C98E144142B2C852F25E9997F6_11</vt:lpwstr>
  </property>
</Properties>
</file>