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附件：1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《202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年蚌埠市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自然资源和规划局蚌山区分局</w:t>
      </w:r>
      <w:r>
        <w:rPr>
          <w:rFonts w:hint="eastAsia" w:ascii="仿宋" w:hAnsi="仿宋" w:eastAsia="仿宋" w:cs="仿宋_GB2312"/>
          <w:sz w:val="28"/>
          <w:szCs w:val="28"/>
        </w:rPr>
        <w:t>招聘工作人员岗位情况一览表》</w:t>
      </w:r>
    </w:p>
    <w:tbl>
      <w:tblPr>
        <w:tblStyle w:val="3"/>
        <w:tblpPr w:leftFromText="180" w:rightFromText="180" w:vertAnchor="text" w:horzAnchor="page" w:tblpX="1126" w:tblpY="374"/>
        <w:tblOverlap w:val="never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90"/>
        <w:gridCol w:w="555"/>
        <w:gridCol w:w="585"/>
        <w:gridCol w:w="1395"/>
        <w:gridCol w:w="1494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岗位代码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岗位名称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性别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招聘数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年龄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、学位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及专业代码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林业管理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不限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周岁以下（198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年11月1日以后出生）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本科及以上学历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、学士及以上学位</w:t>
            </w:r>
          </w:p>
        </w:tc>
        <w:tc>
          <w:tcPr>
            <w:tcW w:w="397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森林工程（082402）、林产化工（082403）、风景园林（082803）、园艺（090102）、植物保护（090103）、植物科学与技术（090104）、种子科学与工程（090105）、设施农业科学与工程（090106）、 自然保护与环境生态类（0902）、林学类（0905）、草学类（0907）、农林经济管理（120301）、林业工程类（0824）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ZWU4ZWVkZGI2MjQ3MGU1OTEwYzAyOWRhZDAxMDkifQ=="/>
  </w:docVars>
  <w:rsids>
    <w:rsidRoot w:val="54732024"/>
    <w:rsid w:val="547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2023-11-27T04:04:00Z</dcterms:created>
  <dc:creator>钱娟娟</dc:creator>
  <cp:lastModifiedBy>钱娟娟</cp:lastModifiedBy>
  <cp:lastPrinted>2023-11-27T04:05:16Z</cp:lastPrinted>
  <dcterms:modified xsi:type="dcterms:W3CDTF">2023-11-27T04:05:39Z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39FFD2B7A27B4BE8BD8A79F1F3E1DEF0_11</vt:lpwstr>
  </property>
</Properties>
</file>