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560" w:lineRule="exact"/>
        <w:jc w:val="both"/>
        <w:textAlignment w:val="auto"/>
        <w:outlineLvl w:val="0"/>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附件3：</w:t>
      </w:r>
    </w:p>
    <w:p>
      <w:pPr>
        <w:wordWrap w:val="0"/>
        <w:spacing w:line="560" w:lineRule="exact"/>
        <w:jc w:val="center"/>
        <w:rPr>
          <w:rFonts w:hint="eastAsia" w:ascii="方正小标宋简体" w:eastAsia="方正小标宋简体"/>
          <w:color w:val="auto"/>
          <w:sz w:val="36"/>
          <w:szCs w:val="36"/>
          <w:highlight w:val="none"/>
        </w:rPr>
      </w:pPr>
    </w:p>
    <w:p>
      <w:pPr>
        <w:wordWrap w:val="0"/>
        <w:spacing w:line="560" w:lineRule="exact"/>
        <w:jc w:val="center"/>
        <w:rPr>
          <w:rFonts w:hint="eastAsia" w:ascii="方正小标宋简体" w:eastAsia="方正小标宋简体"/>
          <w:color w:val="auto"/>
          <w:sz w:val="36"/>
          <w:szCs w:val="36"/>
          <w:highlight w:val="none"/>
          <w:lang w:val="en-US" w:eastAsia="zh-CN"/>
        </w:rPr>
      </w:pPr>
      <w:r>
        <w:rPr>
          <w:rFonts w:hint="eastAsia" w:ascii="方正小标宋简体" w:eastAsia="方正小标宋简体"/>
          <w:color w:val="auto"/>
          <w:sz w:val="36"/>
          <w:szCs w:val="36"/>
          <w:highlight w:val="none"/>
          <w:lang w:eastAsia="zh-CN"/>
        </w:rPr>
        <w:t>襄阳云谷投资管理有限公司</w:t>
      </w:r>
      <w:r>
        <w:rPr>
          <w:rFonts w:hint="eastAsia" w:ascii="方正小标宋简体" w:eastAsia="方正小标宋简体"/>
          <w:color w:val="auto"/>
          <w:sz w:val="36"/>
          <w:szCs w:val="36"/>
          <w:highlight w:val="none"/>
          <w:lang w:val="en-US" w:eastAsia="zh-CN"/>
        </w:rPr>
        <w:t>职业经理人</w:t>
      </w:r>
    </w:p>
    <w:p>
      <w:pPr>
        <w:wordWrap w:val="0"/>
        <w:spacing w:line="560" w:lineRule="exact"/>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lang w:val="en-US" w:eastAsia="zh-CN"/>
        </w:rPr>
        <w:t>_____</w:t>
      </w:r>
      <w:r>
        <w:rPr>
          <w:rFonts w:hint="eastAsia" w:ascii="方正小标宋简体" w:eastAsia="方正小标宋简体"/>
          <w:color w:val="auto"/>
          <w:sz w:val="36"/>
          <w:szCs w:val="36"/>
          <w:highlight w:val="none"/>
        </w:rPr>
        <w:t>年度经营业绩责任书</w:t>
      </w:r>
    </w:p>
    <w:p>
      <w:pPr>
        <w:wordWrap w:val="0"/>
        <w:spacing w:line="560" w:lineRule="exact"/>
        <w:ind w:firstLine="630" w:firstLineChars="196"/>
        <w:rPr>
          <w:rFonts w:ascii="仿宋" w:hAnsi="仿宋" w:eastAsia="仿宋"/>
          <w:b/>
          <w:color w:val="auto"/>
          <w:sz w:val="32"/>
          <w:szCs w:val="32"/>
          <w:highlight w:val="none"/>
        </w:rPr>
      </w:pPr>
    </w:p>
    <w:p>
      <w:pPr>
        <w:wordWrap w:val="0"/>
        <w:spacing w:line="560" w:lineRule="exact"/>
        <w:ind w:firstLine="630" w:firstLineChars="196"/>
        <w:rPr>
          <w:rFonts w:hint="default" w:ascii="仿宋" w:hAnsi="仿宋" w:eastAsia="仿宋"/>
          <w:b/>
          <w:color w:val="auto"/>
          <w:sz w:val="32"/>
          <w:szCs w:val="32"/>
          <w:highlight w:val="none"/>
          <w:lang w:val="en-US"/>
        </w:rPr>
      </w:pPr>
      <w:r>
        <w:rPr>
          <w:rFonts w:hint="eastAsia" w:ascii="仿宋" w:hAnsi="仿宋" w:eastAsia="仿宋"/>
          <w:b/>
          <w:color w:val="auto"/>
          <w:sz w:val="32"/>
          <w:szCs w:val="32"/>
          <w:highlight w:val="none"/>
        </w:rPr>
        <w:t>甲方</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u w:val="single"/>
        </w:rPr>
        <w:t xml:space="preserve">  </w:t>
      </w:r>
      <w:r>
        <w:rPr>
          <w:rFonts w:hint="eastAsia" w:ascii="仿宋" w:hAnsi="仿宋" w:eastAsia="仿宋"/>
          <w:bCs/>
          <w:color w:val="auto"/>
          <w:sz w:val="32"/>
          <w:szCs w:val="32"/>
          <w:highlight w:val="none"/>
          <w:u w:val="single"/>
          <w:lang w:val="en-US" w:eastAsia="zh-CN"/>
        </w:rPr>
        <w:t xml:space="preserve">                        </w:t>
      </w:r>
    </w:p>
    <w:p>
      <w:pPr>
        <w:wordWrap w:val="0"/>
        <w:spacing w:line="560" w:lineRule="exact"/>
        <w:ind w:firstLine="630" w:firstLineChars="196"/>
        <w:rPr>
          <w:rFonts w:hint="eastAsia" w:ascii="仿宋" w:hAnsi="仿宋" w:eastAsia="仿宋"/>
          <w:bCs/>
          <w:color w:val="auto"/>
          <w:sz w:val="32"/>
          <w:szCs w:val="32"/>
          <w:highlight w:val="none"/>
          <w:u w:val="single"/>
          <w:lang w:val="en-US" w:eastAsia="zh-CN"/>
        </w:rPr>
      </w:pPr>
      <w:r>
        <w:rPr>
          <w:rFonts w:hint="eastAsia" w:ascii="仿宋" w:hAnsi="仿宋" w:eastAsia="仿宋"/>
          <w:b/>
          <w:color w:val="auto"/>
          <w:sz w:val="32"/>
          <w:szCs w:val="32"/>
          <w:highlight w:val="none"/>
        </w:rPr>
        <w:t>地址</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u w:val="single"/>
        </w:rPr>
        <w:t xml:space="preserve">  </w:t>
      </w:r>
      <w:r>
        <w:rPr>
          <w:rFonts w:hint="eastAsia" w:ascii="仿宋" w:hAnsi="仿宋" w:eastAsia="仿宋"/>
          <w:bCs/>
          <w:color w:val="auto"/>
          <w:sz w:val="32"/>
          <w:szCs w:val="32"/>
          <w:highlight w:val="none"/>
          <w:u w:val="single"/>
          <w:lang w:val="en-US" w:eastAsia="zh-CN"/>
        </w:rPr>
        <w:t xml:space="preserve">                        </w:t>
      </w:r>
    </w:p>
    <w:p>
      <w:pPr>
        <w:wordWrap w:val="0"/>
        <w:spacing w:line="560" w:lineRule="exact"/>
        <w:ind w:firstLine="630" w:firstLineChars="196"/>
        <w:rPr>
          <w:rFonts w:ascii="仿宋" w:hAnsi="仿宋" w:eastAsia="仿宋"/>
          <w:b/>
          <w:color w:val="auto"/>
          <w:sz w:val="32"/>
          <w:szCs w:val="32"/>
          <w:highlight w:val="none"/>
        </w:rPr>
      </w:pPr>
      <w:r>
        <w:rPr>
          <w:rFonts w:hint="eastAsia" w:ascii="仿宋" w:hAnsi="仿宋" w:eastAsia="仿宋"/>
          <w:b/>
          <w:color w:val="auto"/>
          <w:sz w:val="32"/>
          <w:szCs w:val="32"/>
          <w:highlight w:val="none"/>
        </w:rPr>
        <w:t>法定代表人</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u w:val="single"/>
        </w:rPr>
        <w:t xml:space="preserve"> </w:t>
      </w:r>
      <w:r>
        <w:rPr>
          <w:rFonts w:ascii="仿宋" w:hAnsi="仿宋" w:eastAsia="仿宋"/>
          <w:b/>
          <w:color w:val="auto"/>
          <w:sz w:val="32"/>
          <w:szCs w:val="32"/>
          <w:highlight w:val="none"/>
          <w:u w:val="single"/>
        </w:rPr>
        <w:t xml:space="preserve"> </w:t>
      </w:r>
      <w:r>
        <w:rPr>
          <w:rFonts w:hint="eastAsia" w:ascii="仿宋_GB2312" w:eastAsia="仿宋_GB2312"/>
          <w:color w:val="auto"/>
          <w:sz w:val="32"/>
          <w:szCs w:val="28"/>
          <w:highlight w:val="none"/>
          <w:u w:val="single"/>
          <w:lang w:val="en-US" w:eastAsia="zh-CN"/>
        </w:rPr>
        <w:t xml:space="preserve">      </w:t>
      </w:r>
      <w:r>
        <w:rPr>
          <w:rFonts w:ascii="仿宋" w:hAnsi="仿宋" w:eastAsia="仿宋"/>
          <w:b/>
          <w:color w:val="auto"/>
          <w:sz w:val="32"/>
          <w:szCs w:val="32"/>
          <w:highlight w:val="none"/>
          <w:u w:val="single"/>
        </w:rPr>
        <w:t xml:space="preserve">    </w:t>
      </w:r>
      <w:r>
        <w:rPr>
          <w:rFonts w:hint="eastAsia" w:ascii="仿宋" w:hAnsi="仿宋" w:eastAsia="仿宋"/>
          <w:b/>
          <w:color w:val="auto"/>
          <w:sz w:val="32"/>
          <w:szCs w:val="32"/>
          <w:highlight w:val="none"/>
          <w:u w:val="single"/>
          <w:lang w:val="en-US" w:eastAsia="zh-CN"/>
        </w:rPr>
        <w:t xml:space="preserve">  </w:t>
      </w:r>
      <w:r>
        <w:rPr>
          <w:rFonts w:ascii="仿宋" w:hAnsi="仿宋" w:eastAsia="仿宋"/>
          <w:b/>
          <w:color w:val="auto"/>
          <w:sz w:val="32"/>
          <w:szCs w:val="32"/>
          <w:highlight w:val="none"/>
          <w:u w:val="single"/>
        </w:rPr>
        <w:t xml:space="preserve">      </w:t>
      </w:r>
    </w:p>
    <w:p>
      <w:pPr>
        <w:wordWrap w:val="0"/>
        <w:spacing w:line="560" w:lineRule="exact"/>
        <w:ind w:firstLine="630" w:firstLineChars="196"/>
        <w:rPr>
          <w:rFonts w:ascii="仿宋" w:hAnsi="仿宋" w:eastAsia="仿宋"/>
          <w:b/>
          <w:color w:val="auto"/>
          <w:sz w:val="32"/>
          <w:szCs w:val="32"/>
          <w:highlight w:val="none"/>
        </w:rPr>
      </w:pPr>
      <w:r>
        <w:rPr>
          <w:rFonts w:hint="eastAsia" w:ascii="仿宋" w:hAnsi="仿宋" w:eastAsia="仿宋"/>
          <w:b/>
          <w:color w:val="auto"/>
          <w:sz w:val="32"/>
          <w:szCs w:val="32"/>
          <w:highlight w:val="none"/>
        </w:rPr>
        <w:t>联系方式</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u w:val="single"/>
        </w:rPr>
        <w:t xml:space="preserve">    </w:t>
      </w:r>
      <w:r>
        <w:rPr>
          <w:rFonts w:hint="eastAsia" w:ascii="仿宋_GB2312" w:eastAsia="仿宋_GB2312"/>
          <w:color w:val="auto"/>
          <w:sz w:val="32"/>
          <w:szCs w:val="28"/>
          <w:highlight w:val="none"/>
          <w:u w:val="single"/>
          <w:lang w:val="en-US" w:eastAsia="zh-CN"/>
        </w:rPr>
        <w:t xml:space="preserve">         </w:t>
      </w:r>
      <w:r>
        <w:rPr>
          <w:rFonts w:ascii="仿宋" w:hAnsi="仿宋" w:eastAsia="仿宋"/>
          <w:b/>
          <w:color w:val="auto"/>
          <w:sz w:val="32"/>
          <w:szCs w:val="32"/>
          <w:highlight w:val="none"/>
          <w:u w:val="single"/>
        </w:rPr>
        <w:t xml:space="preserve">         </w:t>
      </w:r>
    </w:p>
    <w:p>
      <w:pPr>
        <w:tabs>
          <w:tab w:val="left" w:pos="8034"/>
        </w:tabs>
        <w:wordWrap w:val="0"/>
        <w:spacing w:line="560" w:lineRule="exact"/>
        <w:ind w:firstLine="630" w:firstLineChars="196"/>
        <w:rPr>
          <w:rFonts w:ascii="仿宋" w:hAnsi="仿宋" w:eastAsia="仿宋"/>
          <w:b/>
          <w:color w:val="auto"/>
          <w:sz w:val="32"/>
          <w:szCs w:val="32"/>
          <w:highlight w:val="none"/>
        </w:rPr>
      </w:pPr>
    </w:p>
    <w:p>
      <w:pPr>
        <w:tabs>
          <w:tab w:val="left" w:pos="8034"/>
        </w:tabs>
        <w:wordWrap w:val="0"/>
        <w:spacing w:line="560" w:lineRule="exact"/>
        <w:ind w:firstLine="630" w:firstLineChars="196"/>
        <w:rPr>
          <w:rFonts w:ascii="仿宋" w:hAnsi="仿宋" w:eastAsia="仿宋"/>
          <w:b/>
          <w:color w:val="auto"/>
          <w:sz w:val="32"/>
          <w:szCs w:val="32"/>
          <w:highlight w:val="none"/>
        </w:rPr>
      </w:pPr>
      <w:r>
        <w:rPr>
          <w:rFonts w:hint="eastAsia" w:ascii="仿宋" w:hAnsi="仿宋" w:eastAsia="仿宋"/>
          <w:b/>
          <w:color w:val="auto"/>
          <w:sz w:val="32"/>
          <w:szCs w:val="32"/>
          <w:highlight w:val="none"/>
        </w:rPr>
        <w:t>乙方</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u w:val="single"/>
        </w:rPr>
        <w:t xml:space="preserve"> </w:t>
      </w:r>
      <w:r>
        <w:rPr>
          <w:rFonts w:ascii="仿宋" w:hAnsi="仿宋" w:eastAsia="仿宋"/>
          <w:b/>
          <w:color w:val="auto"/>
          <w:sz w:val="32"/>
          <w:szCs w:val="32"/>
          <w:highlight w:val="none"/>
          <w:u w:val="single"/>
        </w:rPr>
        <w:t xml:space="preserve">   </w:t>
      </w:r>
      <w:r>
        <w:rPr>
          <w:rFonts w:hint="eastAsia" w:ascii="仿宋" w:hAnsi="仿宋" w:eastAsia="仿宋"/>
          <w:b/>
          <w:color w:val="auto"/>
          <w:sz w:val="32"/>
          <w:szCs w:val="32"/>
          <w:highlight w:val="none"/>
          <w:u w:val="single"/>
          <w:lang w:val="en-US" w:eastAsia="zh-CN"/>
        </w:rPr>
        <w:t xml:space="preserve">                  </w:t>
      </w:r>
      <w:r>
        <w:rPr>
          <w:rFonts w:ascii="仿宋" w:hAnsi="仿宋" w:eastAsia="仿宋"/>
          <w:b/>
          <w:color w:val="auto"/>
          <w:sz w:val="32"/>
          <w:szCs w:val="32"/>
          <w:highlight w:val="none"/>
          <w:u w:val="single"/>
        </w:rPr>
        <w:t xml:space="preserve">    </w:t>
      </w:r>
    </w:p>
    <w:p>
      <w:pPr>
        <w:wordWrap w:val="0"/>
        <w:spacing w:line="560" w:lineRule="exact"/>
        <w:ind w:firstLine="630" w:firstLineChars="196"/>
        <w:rPr>
          <w:rFonts w:ascii="仿宋" w:hAnsi="仿宋" w:eastAsia="仿宋"/>
          <w:b/>
          <w:color w:val="auto"/>
          <w:sz w:val="32"/>
          <w:szCs w:val="32"/>
          <w:highlight w:val="none"/>
          <w:u w:val="single"/>
        </w:rPr>
      </w:pPr>
      <w:r>
        <w:rPr>
          <w:rFonts w:hint="eastAsia" w:ascii="仿宋" w:hAnsi="仿宋" w:eastAsia="仿宋"/>
          <w:b/>
          <w:color w:val="auto"/>
          <w:sz w:val="32"/>
          <w:szCs w:val="32"/>
          <w:highlight w:val="none"/>
        </w:rPr>
        <w:t>职务（岗位）：</w:t>
      </w:r>
      <w:r>
        <w:rPr>
          <w:rFonts w:hint="eastAsia" w:ascii="仿宋" w:hAnsi="仿宋" w:eastAsia="仿宋"/>
          <w:b/>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 xml:space="preserve">             </w:t>
      </w:r>
      <w:r>
        <w:rPr>
          <w:rFonts w:hint="eastAsia" w:ascii="仿宋" w:hAnsi="仿宋" w:eastAsia="仿宋"/>
          <w:b/>
          <w:color w:val="auto"/>
          <w:sz w:val="32"/>
          <w:szCs w:val="32"/>
          <w:highlight w:val="none"/>
          <w:u w:val="single"/>
        </w:rPr>
        <w:t xml:space="preserve">  </w:t>
      </w:r>
    </w:p>
    <w:p>
      <w:pPr>
        <w:wordWrap w:val="0"/>
        <w:spacing w:line="560" w:lineRule="exact"/>
        <w:ind w:firstLine="630" w:firstLineChars="196"/>
        <w:rPr>
          <w:rFonts w:hint="default"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rPr>
        <w:t>身份证号</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u w:val="single"/>
        </w:rPr>
        <w:t xml:space="preserve">  </w:t>
      </w:r>
      <w:r>
        <w:rPr>
          <w:rFonts w:hint="eastAsia" w:ascii="仿宋" w:hAnsi="仿宋" w:eastAsia="仿宋"/>
          <w:b/>
          <w:color w:val="auto"/>
          <w:sz w:val="32"/>
          <w:szCs w:val="32"/>
          <w:highlight w:val="none"/>
          <w:u w:val="single"/>
          <w:lang w:val="en-US" w:eastAsia="zh-CN"/>
        </w:rPr>
        <w:t xml:space="preserve">                    </w:t>
      </w:r>
    </w:p>
    <w:p>
      <w:pPr>
        <w:wordWrap w:val="0"/>
        <w:spacing w:line="560" w:lineRule="exact"/>
        <w:ind w:firstLine="630" w:firstLineChars="196"/>
        <w:rPr>
          <w:rFonts w:hint="default"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rPr>
        <w:t>联系方式</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u w:val="single"/>
        </w:rPr>
        <w:t xml:space="preserve"> </w:t>
      </w:r>
      <w:r>
        <w:rPr>
          <w:rFonts w:hint="eastAsia" w:ascii="仿宋" w:hAnsi="仿宋" w:eastAsia="仿宋"/>
          <w:b/>
          <w:color w:val="auto"/>
          <w:sz w:val="32"/>
          <w:szCs w:val="32"/>
          <w:highlight w:val="none"/>
          <w:u w:val="single"/>
          <w:lang w:val="en-US" w:eastAsia="zh-CN"/>
        </w:rPr>
        <w:t xml:space="preserve">                     </w:t>
      </w:r>
    </w:p>
    <w:p>
      <w:pPr>
        <w:wordWrap w:val="0"/>
        <w:spacing w:line="560" w:lineRule="exact"/>
        <w:rPr>
          <w:rFonts w:ascii="仿宋" w:hAnsi="仿宋" w:eastAsia="仿宋" w:cs="仿宋"/>
          <w:b/>
          <w:bCs/>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第一条  考核依据</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eastAsia="zh-CN"/>
        </w:rPr>
        <w:t>襄阳云谷投资管理有限公司</w:t>
      </w:r>
      <w:r>
        <w:rPr>
          <w:rFonts w:hint="eastAsia" w:ascii="仿宋" w:hAnsi="仿宋" w:eastAsia="仿宋" w:cs="仿宋"/>
          <w:color w:val="auto"/>
          <w:sz w:val="32"/>
          <w:szCs w:val="32"/>
          <w:highlight w:val="none"/>
        </w:rPr>
        <w:t>（以下简称“甲方”）</w:t>
      </w:r>
      <w:r>
        <w:rPr>
          <w:rFonts w:hint="eastAsia" w:ascii="仿宋" w:hAnsi="仿宋" w:eastAsia="仿宋" w:cs="仿宋"/>
          <w:color w:val="auto"/>
          <w:sz w:val="32"/>
          <w:szCs w:val="32"/>
          <w:highlight w:val="none"/>
          <w:lang w:val="en-US" w:eastAsia="zh-CN"/>
        </w:rPr>
        <w:t>______</w:t>
      </w:r>
      <w:r>
        <w:rPr>
          <w:rFonts w:hint="eastAsia" w:ascii="仿宋" w:hAnsi="仿宋" w:eastAsia="仿宋" w:cs="仿宋"/>
          <w:color w:val="auto"/>
          <w:sz w:val="32"/>
          <w:szCs w:val="32"/>
          <w:highlight w:val="none"/>
        </w:rPr>
        <w:t>年度重大战略任务分解，由</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与</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（以下简称“乙方”）签订本责任书，并依据考核结果决定对乙方的奖惩。</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第二条  考核期</w:t>
      </w:r>
    </w:p>
    <w:p>
      <w:pPr>
        <w:pStyle w:val="3"/>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甲方对乙方进行</w:t>
      </w:r>
      <w:r>
        <w:rPr>
          <w:rFonts w:hint="eastAsia" w:ascii="仿宋" w:hAnsi="仿宋" w:eastAsia="仿宋" w:cs="仿宋"/>
          <w:color w:val="auto"/>
          <w:sz w:val="32"/>
          <w:szCs w:val="32"/>
          <w:highlight w:val="none"/>
          <w:lang w:val="en-US" w:eastAsia="zh-CN"/>
        </w:rPr>
        <w:t>年度</w:t>
      </w:r>
      <w:r>
        <w:rPr>
          <w:rFonts w:hint="eastAsia" w:ascii="仿宋" w:hAnsi="仿宋" w:eastAsia="仿宋" w:cs="仿宋"/>
          <w:color w:val="auto"/>
          <w:sz w:val="32"/>
          <w:szCs w:val="32"/>
          <w:highlight w:val="none"/>
        </w:rPr>
        <w:t>经营业绩考核，考核周期为一年，即从公历</w:t>
      </w:r>
      <w:r>
        <w:rPr>
          <w:rFonts w:hint="eastAsia" w:ascii="仿宋" w:hAnsi="仿宋" w:eastAsia="仿宋" w:cs="仿宋"/>
          <w:color w:val="auto"/>
          <w:sz w:val="32"/>
          <w:szCs w:val="32"/>
          <w:highlight w:val="none"/>
          <w:u w:val="single"/>
          <w:lang w:val="en-US" w:eastAsia="zh-CN"/>
        </w:rPr>
        <w:t>____</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single"/>
          <w:lang w:val="en-US" w:eastAsia="zh-CN"/>
        </w:rPr>
        <w:t>____</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single"/>
          <w:lang w:val="en-US" w:eastAsia="zh-CN"/>
        </w:rPr>
        <w:t>____</w:t>
      </w:r>
      <w:r>
        <w:rPr>
          <w:rFonts w:hint="eastAsia" w:ascii="仿宋" w:hAnsi="仿宋" w:eastAsia="仿宋" w:cs="仿宋"/>
          <w:color w:val="auto"/>
          <w:sz w:val="32"/>
          <w:szCs w:val="32"/>
          <w:highlight w:val="none"/>
        </w:rPr>
        <w:t>日起至</w:t>
      </w:r>
      <w:r>
        <w:rPr>
          <w:rFonts w:hint="eastAsia" w:ascii="仿宋" w:hAnsi="仿宋" w:eastAsia="仿宋" w:cs="仿宋"/>
          <w:color w:val="auto"/>
          <w:sz w:val="32"/>
          <w:szCs w:val="32"/>
          <w:highlight w:val="none"/>
          <w:u w:val="single"/>
          <w:lang w:val="en-US" w:eastAsia="zh-CN"/>
        </w:rPr>
        <w:t>____</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single"/>
          <w:lang w:val="en-US" w:eastAsia="zh-CN"/>
        </w:rPr>
        <w:t>____</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single"/>
          <w:lang w:val="en-US" w:eastAsia="zh-CN"/>
        </w:rPr>
        <w:t>____</w:t>
      </w:r>
      <w:r>
        <w:rPr>
          <w:rFonts w:hint="eastAsia" w:ascii="仿宋" w:hAnsi="仿宋" w:eastAsia="仿宋" w:cs="仿宋"/>
          <w:color w:val="auto"/>
          <w:sz w:val="32"/>
          <w:szCs w:val="32"/>
          <w:highlight w:val="none"/>
        </w:rPr>
        <w:t>日止。</w:t>
      </w:r>
      <w:r>
        <w:rPr>
          <w:rFonts w:hint="eastAsia" w:ascii="仿宋" w:hAnsi="仿宋" w:eastAsia="仿宋" w:cs="仿宋"/>
          <w:color w:val="auto"/>
          <w:sz w:val="32"/>
          <w:szCs w:val="32"/>
          <w:highlight w:val="none"/>
          <w:lang w:val="en-US" w:eastAsia="zh-CN"/>
        </w:rPr>
        <w:t>初</w:t>
      </w:r>
      <w:r>
        <w:rPr>
          <w:rFonts w:hint="eastAsia" w:ascii="仿宋" w:hAnsi="仿宋" w:eastAsia="仿宋" w:cs="仿宋"/>
          <w:color w:val="auto"/>
          <w:sz w:val="32"/>
          <w:szCs w:val="32"/>
          <w:highlight w:val="none"/>
        </w:rPr>
        <w:t>次聘任为</w:t>
      </w:r>
      <w:r>
        <w:rPr>
          <w:rFonts w:hint="eastAsia" w:ascii="仿宋" w:hAnsi="仿宋" w:eastAsia="仿宋" w:cs="仿宋"/>
          <w:color w:val="auto"/>
          <w:sz w:val="32"/>
          <w:szCs w:val="32"/>
          <w:highlight w:val="none"/>
          <w:lang w:val="en-US" w:eastAsia="zh-CN"/>
        </w:rPr>
        <w:t>本</w:t>
      </w:r>
      <w:r>
        <w:rPr>
          <w:rFonts w:hint="eastAsia" w:ascii="仿宋" w:hAnsi="仿宋" w:eastAsia="仿宋" w:cs="仿宋"/>
          <w:color w:val="auto"/>
          <w:sz w:val="32"/>
          <w:szCs w:val="32"/>
          <w:highlight w:val="none"/>
        </w:rPr>
        <w:t>公司职业经理人的，实行</w:t>
      </w:r>
      <w:r>
        <w:rPr>
          <w:rFonts w:hint="eastAsia" w:ascii="仿宋" w:hAnsi="仿宋" w:eastAsia="仿宋" w:cs="仿宋"/>
          <w:color w:val="auto"/>
          <w:sz w:val="32"/>
          <w:szCs w:val="32"/>
          <w:highlight w:val="none"/>
          <w:lang w:val="en-US" w:eastAsia="zh-CN"/>
        </w:rPr>
        <w:t>任期</w:t>
      </w:r>
      <w:r>
        <w:rPr>
          <w:rFonts w:hint="eastAsia" w:ascii="仿宋" w:hAnsi="仿宋" w:eastAsia="仿宋" w:cs="仿宋"/>
          <w:color w:val="auto"/>
          <w:sz w:val="32"/>
          <w:szCs w:val="32"/>
          <w:highlight w:val="none"/>
        </w:rPr>
        <w:t>试用期制度，试用期为一年。</w:t>
      </w:r>
    </w:p>
    <w:p>
      <w:pPr>
        <w:pStyle w:val="4"/>
        <w:keepNext w:val="0"/>
        <w:keepLines w:val="0"/>
        <w:pageBreakBefore w:val="0"/>
        <w:widowControl w:val="0"/>
        <w:numPr>
          <w:ilvl w:val="0"/>
          <w:numId w:val="1"/>
        </w:numPr>
        <w:kinsoku/>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 xml:space="preserve"> </w:t>
      </w:r>
      <w:r>
        <w:rPr>
          <w:rFonts w:hint="eastAsia" w:ascii="黑体" w:hAnsi="黑体" w:eastAsia="黑体" w:cs="黑体"/>
          <w:b w:val="0"/>
          <w:bCs w:val="0"/>
          <w:color w:val="auto"/>
          <w:sz w:val="32"/>
          <w:szCs w:val="32"/>
          <w:highlight w:val="none"/>
          <w:lang w:val="en-US" w:eastAsia="zh-CN"/>
        </w:rPr>
        <w:t>考核管理</w:t>
      </w:r>
    </w:p>
    <w:p>
      <w:pPr>
        <w:pStyle w:val="3"/>
        <w:ind w:firstLine="640" w:firstLineChars="200"/>
        <w:rPr>
          <w:rFonts w:hint="eastAsia" w:ascii="黑体" w:hAnsi="黑体" w:eastAsia="黑体" w:cs="黑体"/>
          <w:b w:val="0"/>
          <w:bCs w:val="0"/>
          <w:color w:val="auto"/>
          <w:sz w:val="32"/>
          <w:szCs w:val="32"/>
          <w:highlight w:val="none"/>
          <w:lang w:val="en-US" w:eastAsia="zh-CN"/>
        </w:rPr>
      </w:pPr>
      <w:r>
        <w:rPr>
          <w:rFonts w:hint="eastAsia" w:ascii="仿宋" w:hAnsi="仿宋" w:eastAsia="仿宋" w:cs="仿宋_GB2312"/>
          <w:color w:val="auto"/>
          <w:sz w:val="32"/>
          <w:szCs w:val="32"/>
          <w:highlight w:val="none"/>
        </w:rPr>
        <w:t>年度考核</w:t>
      </w:r>
      <w:r>
        <w:rPr>
          <w:rFonts w:hint="eastAsia" w:ascii="仿宋" w:hAnsi="仿宋" w:eastAsia="仿宋" w:cs="仿宋_GB2312"/>
          <w:color w:val="auto"/>
          <w:sz w:val="32"/>
          <w:szCs w:val="32"/>
          <w:highlight w:val="none"/>
          <w:lang w:val="en-US" w:eastAsia="zh-CN"/>
        </w:rPr>
        <w:t>由年度</w:t>
      </w:r>
      <w:r>
        <w:rPr>
          <w:rFonts w:hint="eastAsia" w:ascii="仿宋" w:hAnsi="仿宋" w:eastAsia="仿宋" w:cs="仿宋"/>
          <w:b w:val="0"/>
          <w:bCs w:val="0"/>
          <w:color w:val="auto"/>
          <w:sz w:val="32"/>
          <w:szCs w:val="32"/>
          <w:highlight w:val="none"/>
          <w:lang w:val="en-US" w:eastAsia="zh-CN"/>
        </w:rPr>
        <w:t>经营业绩考核和年度综合考核评价2部分组成，</w:t>
      </w:r>
      <w:r>
        <w:rPr>
          <w:rFonts w:hint="eastAsia" w:ascii="仿宋" w:hAnsi="仿宋" w:eastAsia="仿宋" w:cs="仿宋_GB2312"/>
          <w:color w:val="auto"/>
          <w:sz w:val="32"/>
          <w:szCs w:val="32"/>
          <w:highlight w:val="none"/>
        </w:rPr>
        <w:t>以自然年度为周期，在次年进行</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其中，经营业绩考核</w:t>
      </w:r>
      <w:r>
        <w:rPr>
          <w:rFonts w:hint="eastAsia" w:ascii="仿宋" w:hAnsi="仿宋" w:eastAsia="仿宋" w:cs="仿宋"/>
          <w:b w:val="0"/>
          <w:bCs w:val="0"/>
          <w:color w:val="auto"/>
          <w:sz w:val="32"/>
          <w:szCs w:val="32"/>
          <w:highlight w:val="none"/>
          <w:lang w:val="en-US" w:eastAsia="zh-CN"/>
        </w:rPr>
        <w:t>由甲方董事会组织实施，综合考核评价考核由汉江控股党委组织实施。</w:t>
      </w:r>
    </w:p>
    <w:p>
      <w:pPr>
        <w:spacing w:line="540" w:lineRule="exact"/>
        <w:ind w:firstLine="640" w:firstLineChars="200"/>
        <w:rPr>
          <w:rFonts w:hint="eastAsia" w:ascii="楷体" w:hAnsi="楷体" w:eastAsia="楷体" w:cs="仿宋_GB2312"/>
          <w:color w:val="auto"/>
          <w:sz w:val="32"/>
          <w:szCs w:val="32"/>
          <w:highlight w:val="none"/>
        </w:rPr>
      </w:pPr>
      <w:r>
        <w:rPr>
          <w:rFonts w:hint="eastAsia" w:ascii="楷体" w:hAnsi="楷体" w:eastAsia="楷体" w:cs="楷体"/>
          <w:b w:val="0"/>
          <w:bCs w:val="0"/>
          <w:color w:val="auto"/>
          <w:sz w:val="32"/>
          <w:szCs w:val="32"/>
          <w:highlight w:val="none"/>
          <w:lang w:val="en-US" w:eastAsia="zh-CN"/>
        </w:rPr>
        <w:t>（一）年度经营业绩考核</w:t>
      </w:r>
    </w:p>
    <w:tbl>
      <w:tblPr>
        <w:tblStyle w:val="8"/>
        <w:tblpPr w:leftFromText="180" w:rightFromText="180" w:vertAnchor="text" w:horzAnchor="page" w:tblpX="1887" w:tblpY="338"/>
        <w:tblW w:w="8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536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663" w:type="dxa"/>
            <w:tcBorders>
              <w:top w:val="single" w:color="auto" w:sz="4" w:space="0"/>
              <w:left w:val="single" w:color="auto" w:sz="4" w:space="0"/>
              <w:bottom w:val="single" w:color="auto" w:sz="4" w:space="0"/>
              <w:right w:val="single" w:color="auto" w:sz="4" w:space="0"/>
            </w:tcBorders>
            <w:noWrap w:val="0"/>
            <w:vAlign w:val="center"/>
          </w:tcPr>
          <w:p>
            <w:pPr>
              <w:pStyle w:val="3"/>
              <w:spacing w:line="340" w:lineRule="atLeast"/>
              <w:ind w:firstLine="0" w:firstLineChars="0"/>
              <w:rPr>
                <w:rFonts w:hint="eastAsia" w:ascii="仿宋" w:hAnsi="仿宋" w:eastAsia="仿宋"/>
                <w:b/>
                <w:bCs/>
                <w:color w:val="auto"/>
                <w:sz w:val="24"/>
                <w:szCs w:val="24"/>
                <w:highlight w:val="none"/>
                <w:lang w:val="en-US" w:eastAsia="zh-CN"/>
              </w:rPr>
            </w:pPr>
            <w:r>
              <w:rPr>
                <w:rFonts w:hint="eastAsia" w:ascii="仿宋" w:hAnsi="仿宋" w:eastAsia="仿宋"/>
                <w:b/>
                <w:bCs/>
                <w:color w:val="auto"/>
                <w:sz w:val="24"/>
                <w:highlight w:val="none"/>
                <w:lang w:val="en-US" w:eastAsia="zh-CN"/>
              </w:rPr>
              <w:t xml:space="preserve">  </w:t>
            </w:r>
            <w:r>
              <w:rPr>
                <w:rFonts w:hint="eastAsia" w:ascii="仿宋" w:hAnsi="仿宋" w:eastAsia="仿宋"/>
                <w:b/>
                <w:bCs/>
                <w:color w:val="auto"/>
                <w:sz w:val="24"/>
                <w:highlight w:val="none"/>
              </w:rPr>
              <w:t>指标类别</w:t>
            </w:r>
            <w:r>
              <w:rPr>
                <w:rFonts w:hint="eastAsia" w:ascii="仿宋" w:hAnsi="仿宋" w:eastAsia="仿宋"/>
                <w:b/>
                <w:bCs/>
                <w:color w:val="auto"/>
                <w:sz w:val="24"/>
                <w:highlight w:val="none"/>
                <w:lang w:val="en-US" w:eastAsia="zh-CN"/>
              </w:rPr>
              <w:t xml:space="preserve"> </w:t>
            </w:r>
          </w:p>
        </w:tc>
        <w:tc>
          <w:tcPr>
            <w:tcW w:w="5361" w:type="dxa"/>
            <w:tcBorders>
              <w:top w:val="single" w:color="auto" w:sz="4" w:space="0"/>
              <w:left w:val="single" w:color="auto" w:sz="4" w:space="0"/>
              <w:bottom w:val="single" w:color="auto" w:sz="4" w:space="0"/>
              <w:right w:val="single" w:color="auto" w:sz="4" w:space="0"/>
            </w:tcBorders>
            <w:noWrap w:val="0"/>
            <w:vAlign w:val="center"/>
          </w:tcPr>
          <w:p>
            <w:pPr>
              <w:pStyle w:val="3"/>
              <w:spacing w:line="340" w:lineRule="atLeast"/>
              <w:ind w:firstLine="2168" w:firstLineChars="900"/>
              <w:rPr>
                <w:rFonts w:hint="default" w:ascii="仿宋" w:hAnsi="仿宋" w:eastAsia="仿宋"/>
                <w:b/>
                <w:bCs/>
                <w:color w:val="auto"/>
                <w:sz w:val="24"/>
                <w:highlight w:val="none"/>
                <w:lang w:val="en-US" w:eastAsia="zh-CN"/>
              </w:rPr>
            </w:pPr>
            <w:r>
              <w:rPr>
                <w:rFonts w:hint="eastAsia" w:ascii="仿宋" w:hAnsi="仿宋" w:eastAsia="仿宋"/>
                <w:b/>
                <w:bCs/>
                <w:color w:val="auto"/>
                <w:sz w:val="24"/>
                <w:highlight w:val="none"/>
                <w:lang w:val="en-US" w:eastAsia="zh-CN"/>
              </w:rPr>
              <w:t>具体指标</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pStyle w:val="3"/>
              <w:spacing w:line="340" w:lineRule="atLeast"/>
              <w:ind w:firstLine="0" w:firstLineChars="0"/>
              <w:rPr>
                <w:rFonts w:hint="eastAsia" w:ascii="仿宋" w:hAnsi="仿宋" w:eastAsia="仿宋"/>
                <w:b/>
                <w:bCs/>
                <w:color w:val="auto"/>
                <w:sz w:val="24"/>
                <w:highlight w:val="none"/>
                <w:lang w:eastAsia="zh-CN"/>
              </w:rPr>
            </w:pPr>
            <w:r>
              <w:rPr>
                <w:rFonts w:hint="eastAsia" w:ascii="仿宋" w:hAnsi="仿宋" w:eastAsia="仿宋"/>
                <w:b/>
                <w:bCs/>
                <w:color w:val="auto"/>
                <w:sz w:val="24"/>
                <w:highlight w:val="none"/>
              </w:rPr>
              <w:t>分值</w:t>
            </w:r>
            <w:r>
              <w:rPr>
                <w:rFonts w:hint="eastAsia" w:ascii="仿宋" w:hAnsi="仿宋" w:eastAsia="仿宋"/>
                <w:b/>
                <w:bCs/>
                <w:color w:val="auto"/>
                <w:sz w:val="24"/>
                <w:highlight w:val="none"/>
                <w:lang w:eastAsia="zh-CN"/>
              </w:rPr>
              <w:t>（</w:t>
            </w:r>
            <w:r>
              <w:rPr>
                <w:rFonts w:hint="eastAsia" w:ascii="仿宋" w:hAnsi="仿宋" w:eastAsia="仿宋"/>
                <w:b/>
                <w:bCs/>
                <w:color w:val="auto"/>
                <w:sz w:val="24"/>
                <w:highlight w:val="none"/>
                <w:lang w:val="en-US" w:eastAsia="zh-CN"/>
              </w:rPr>
              <w:t>分</w:t>
            </w:r>
            <w:r>
              <w:rPr>
                <w:rFonts w:hint="eastAsia" w:ascii="仿宋" w:hAnsi="仿宋" w:eastAsia="仿宋"/>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63" w:type="dxa"/>
            <w:tcBorders>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snapToGrid/>
              <w:spacing w:line="340" w:lineRule="atLeast"/>
              <w:textAlignment w:val="auto"/>
              <w:rPr>
                <w:rFonts w:hint="default" w:eastAsia="宋体"/>
                <w:color w:val="auto"/>
                <w:highlight w:val="none"/>
                <w:lang w:val="en-US" w:eastAsia="zh-CN"/>
              </w:rPr>
            </w:pPr>
            <w:r>
              <w:rPr>
                <w:rFonts w:hint="eastAsia" w:ascii="仿宋" w:hAnsi="仿宋" w:eastAsia="仿宋" w:cs="仿宋"/>
                <w:color w:val="auto"/>
                <w:highlight w:val="none"/>
                <w:lang w:val="en-US" w:eastAsia="zh-CN"/>
              </w:rPr>
              <w:t>经营业绩考核</w:t>
            </w:r>
          </w:p>
        </w:tc>
        <w:tc>
          <w:tcPr>
            <w:tcW w:w="5361" w:type="dxa"/>
            <w:tcBorders>
              <w:top w:val="single" w:color="auto" w:sz="4" w:space="0"/>
              <w:left w:val="single" w:color="auto" w:sz="4" w:space="0"/>
              <w:bottom w:val="single" w:color="auto" w:sz="4" w:space="0"/>
              <w:right w:val="single" w:color="auto" w:sz="4" w:space="0"/>
            </w:tcBorders>
            <w:noWrap w:val="0"/>
            <w:vAlign w:val="center"/>
          </w:tcPr>
          <w:p>
            <w:pPr>
              <w:autoSpaceDE/>
              <w:autoSpaceDN/>
              <w:adjustRightInd/>
              <w:spacing w:line="340" w:lineRule="atLeast"/>
              <w:ind w:firstLine="480" w:firstLineChars="200"/>
              <w:rPr>
                <w:rFonts w:hint="default" w:ascii="仿宋" w:hAnsi="仿宋" w:eastAsia="仿宋" w:cs="仿宋"/>
                <w:b w:val="0"/>
                <w:bCs/>
                <w:color w:val="auto"/>
                <w:sz w:val="24"/>
                <w:szCs w:val="24"/>
                <w:highlight w:val="none"/>
                <w:lang w:val="en-US"/>
              </w:rPr>
            </w:pPr>
            <w:r>
              <w:rPr>
                <w:rFonts w:hint="eastAsia" w:ascii="仿宋" w:hAnsi="仿宋" w:eastAsia="仿宋" w:cs="仿宋"/>
                <w:b w:val="0"/>
                <w:bCs/>
                <w:color w:val="auto"/>
                <w:sz w:val="24"/>
                <w:szCs w:val="24"/>
                <w:highlight w:val="none"/>
                <w:lang w:val="en-US" w:eastAsia="zh-CN"/>
              </w:rPr>
              <w:t>结合当年</w:t>
            </w:r>
            <w:r>
              <w:rPr>
                <w:rFonts w:hint="eastAsia" w:ascii="仿宋" w:hAnsi="仿宋" w:eastAsia="仿宋" w:cs="仿宋"/>
                <w:b w:val="0"/>
                <w:bCs/>
                <w:color w:val="auto"/>
                <w:sz w:val="24"/>
                <w:szCs w:val="24"/>
                <w:highlight w:val="none"/>
              </w:rPr>
              <w:t>公司重点经营业绩考核指标</w:t>
            </w:r>
            <w:r>
              <w:rPr>
                <w:rFonts w:hint="eastAsia" w:ascii="仿宋" w:hAnsi="仿宋" w:eastAsia="仿宋" w:cs="仿宋"/>
                <w:b w:val="0"/>
                <w:bCs/>
                <w:color w:val="auto"/>
                <w:sz w:val="24"/>
                <w:szCs w:val="24"/>
                <w:highlight w:val="none"/>
                <w:lang w:val="en-US" w:eastAsia="zh-CN"/>
              </w:rPr>
              <w:t>及实际情况确定具体指标</w:t>
            </w:r>
            <w:r>
              <w:rPr>
                <w:rFonts w:hint="eastAsia" w:ascii="仿宋" w:hAnsi="仿宋" w:eastAsia="仿宋" w:cs="仿宋"/>
                <w:b w:val="0"/>
                <w:bCs/>
                <w:color w:val="auto"/>
                <w:sz w:val="24"/>
                <w:szCs w:val="24"/>
                <w:highlight w:val="none"/>
              </w:rPr>
              <w:t>，</w:t>
            </w:r>
            <w:r>
              <w:rPr>
                <w:rFonts w:hint="eastAsia" w:ascii="仿宋" w:hAnsi="仿宋" w:eastAsia="仿宋"/>
                <w:color w:val="auto"/>
                <w:sz w:val="24"/>
                <w:szCs w:val="24"/>
                <w:highlight w:val="none"/>
              </w:rPr>
              <w:t>包括：</w:t>
            </w:r>
            <w:r>
              <w:rPr>
                <w:rFonts w:hint="eastAsia" w:ascii="仿宋" w:hAnsi="仿宋" w:eastAsia="仿宋" w:cs="仿宋"/>
                <w:b w:val="0"/>
                <w:bCs/>
                <w:color w:val="auto"/>
                <w:sz w:val="24"/>
                <w:szCs w:val="24"/>
                <w:highlight w:val="none"/>
                <w:lang w:val="en-US" w:eastAsia="zh-CN"/>
              </w:rPr>
              <w:t>营业收入、净利润等</w:t>
            </w:r>
          </w:p>
        </w:tc>
        <w:tc>
          <w:tcPr>
            <w:tcW w:w="1451" w:type="dxa"/>
            <w:tcBorders>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snapToGrid/>
              <w:spacing w:line="340" w:lineRule="atLeast"/>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100</w:t>
            </w:r>
          </w:p>
        </w:tc>
      </w:tr>
    </w:tbl>
    <w:p>
      <w:pPr>
        <w:pStyle w:val="3"/>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1.年度</w:t>
      </w:r>
      <w:r>
        <w:rPr>
          <w:rFonts w:hint="eastAsia" w:ascii="仿宋" w:hAnsi="仿宋" w:eastAsia="仿宋" w:cs="仿宋"/>
          <w:color w:val="auto"/>
          <w:sz w:val="32"/>
          <w:szCs w:val="32"/>
          <w:highlight w:val="none"/>
          <w:lang w:val="en-US" w:eastAsia="zh-CN"/>
        </w:rPr>
        <w:t>经营业绩考核权重为100分，考核总分为各项指标得分的总和。年度经营业绩考核总分直接作为年度综合考核评价中“工作实绩”指标的打分依据。公式：“工作实绩”指标得分=经营业绩考核总分*60%。</w:t>
      </w:r>
    </w:p>
    <w:p>
      <w:pPr>
        <w:pStyle w:val="3"/>
        <w:numPr>
          <w:ilvl w:val="0"/>
          <w:numId w:val="0"/>
        </w:num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2.年度经营业绩考核总分为绩效年薪的发放依据。绩效年薪发放金额=绩效年薪基数*发放比例*年度经营业绩考核总分/100。</w:t>
      </w:r>
    </w:p>
    <w:p>
      <w:pPr>
        <w:pStyle w:val="3"/>
        <w:numPr>
          <w:ilvl w:val="0"/>
          <w:numId w:val="0"/>
        </w:num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年度经营业绩考核总得分低于100分的，绩效年薪做降薪处理。年度经营业绩考核总分低于80分的，视为予以解聘，不得发放当年度绩效年薪。详情见下表：</w:t>
      </w:r>
    </w:p>
    <w:p>
      <w:pPr>
        <w:spacing w:line="540" w:lineRule="exact"/>
        <w:ind w:firstLine="640" w:firstLineChars="200"/>
        <w:rPr>
          <w:rFonts w:hint="eastAsia" w:ascii="楷体" w:hAnsi="楷体" w:eastAsia="楷体" w:cs="楷体"/>
          <w:b w:val="0"/>
          <w:bCs w:val="0"/>
          <w:color w:val="auto"/>
          <w:sz w:val="32"/>
          <w:szCs w:val="32"/>
          <w:highlight w:val="none"/>
          <w:lang w:val="en-US" w:eastAsia="zh-CN"/>
        </w:rPr>
      </w:pPr>
    </w:p>
    <w:p>
      <w:pPr>
        <w:spacing w:line="540" w:lineRule="exact"/>
        <w:ind w:firstLine="640" w:firstLineChars="200"/>
        <w:rPr>
          <w:rFonts w:hint="eastAsia" w:ascii="楷体" w:hAnsi="楷体" w:eastAsia="楷体" w:cs="楷体"/>
          <w:b w:val="0"/>
          <w:bCs w:val="0"/>
          <w:color w:val="auto"/>
          <w:sz w:val="32"/>
          <w:szCs w:val="32"/>
          <w:highlight w:val="none"/>
          <w:lang w:val="en-US" w:eastAsia="zh-CN"/>
        </w:rPr>
      </w:pPr>
    </w:p>
    <w:tbl>
      <w:tblPr>
        <w:tblStyle w:val="9"/>
        <w:tblpPr w:leftFromText="180" w:rightFromText="180" w:vertAnchor="text" w:horzAnchor="page" w:tblpX="1519" w:tblpY="13"/>
        <w:tblOverlap w:val="never"/>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274"/>
        <w:gridCol w:w="822"/>
        <w:gridCol w:w="863"/>
        <w:gridCol w:w="1325"/>
        <w:gridCol w:w="217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lang w:val="en-US" w:eastAsia="zh-CN" w:bidi="ar-SA"/>
              </w:rPr>
              <w:t>经营业绩考核总分</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发放基数</w:t>
            </w: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发放比例</w:t>
            </w:r>
          </w:p>
        </w:tc>
        <w:tc>
          <w:tcPr>
            <w:tcW w:w="1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发放系数</w:t>
            </w: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发放额（万元）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2"/>
                <w:szCs w:val="22"/>
                <w:highlight w:val="none"/>
                <w:lang w:val="en-US" w:eastAsia="zh-CN" w:bidi="ar-SA"/>
              </w:rPr>
              <w:t>（发放基数*发放比例*发放系数）</w:t>
            </w:r>
          </w:p>
        </w:tc>
        <w:tc>
          <w:tcPr>
            <w:tcW w:w="2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发放区间X（万元）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5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绩效年薪</w:t>
            </w:r>
          </w:p>
        </w:tc>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100分（含）以上</w:t>
            </w:r>
          </w:p>
        </w:tc>
        <w:tc>
          <w:tcPr>
            <w:tcW w:w="82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kern w:val="2"/>
                <w:sz w:val="24"/>
                <w:szCs w:val="24"/>
                <w:highlight w:val="none"/>
                <w:lang w:val="en-US" w:eastAsia="zh-CN" w:bidi="ar-SA"/>
              </w:rPr>
              <w:t>19.32万元/年</w:t>
            </w: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100%</w:t>
            </w:r>
          </w:p>
        </w:tc>
        <w:tc>
          <w:tcPr>
            <w:tcW w:w="1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w:t>
            </w: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19.32</w:t>
            </w:r>
          </w:p>
        </w:tc>
        <w:tc>
          <w:tcPr>
            <w:tcW w:w="2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90分（含）到100分（不含）</w:t>
            </w:r>
          </w:p>
        </w:tc>
        <w:tc>
          <w:tcPr>
            <w:tcW w:w="82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90%</w:t>
            </w:r>
          </w:p>
        </w:tc>
        <w:tc>
          <w:tcPr>
            <w:tcW w:w="13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lang w:val="en-US" w:eastAsia="zh-CN" w:bidi="ar-SA"/>
              </w:rPr>
              <w:t>年度经营业绩考核总分/100</w:t>
            </w: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17.388*</w:t>
            </w:r>
            <w:r>
              <w:rPr>
                <w:rFonts w:hint="eastAsia" w:ascii="仿宋" w:hAnsi="仿宋" w:eastAsia="仿宋" w:cs="仿宋"/>
                <w:color w:val="auto"/>
                <w:kern w:val="2"/>
                <w:sz w:val="24"/>
                <w:szCs w:val="24"/>
                <w:highlight w:val="none"/>
                <w:lang w:val="en-US" w:eastAsia="zh-CN" w:bidi="ar-SA"/>
              </w:rPr>
              <w:t>年度经营业绩考核总分/100</w:t>
            </w:r>
          </w:p>
        </w:tc>
        <w:tc>
          <w:tcPr>
            <w:tcW w:w="2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15.6492≤X＜17.388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kern w:val="2"/>
                <w:sz w:val="24"/>
                <w:szCs w:val="24"/>
                <w:highlight w:val="none"/>
                <w:lang w:val="en-US" w:eastAsia="zh-CN" w:bidi="ar-SA"/>
              </w:rPr>
              <w:t>85分（含）到90分（不含）</w:t>
            </w:r>
          </w:p>
        </w:tc>
        <w:tc>
          <w:tcPr>
            <w:tcW w:w="82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80%</w:t>
            </w:r>
          </w:p>
        </w:tc>
        <w:tc>
          <w:tcPr>
            <w:tcW w:w="13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15.456*</w:t>
            </w:r>
            <w:r>
              <w:rPr>
                <w:rFonts w:hint="eastAsia" w:ascii="仿宋" w:hAnsi="仿宋" w:eastAsia="仿宋" w:cs="仿宋"/>
                <w:color w:val="auto"/>
                <w:kern w:val="2"/>
                <w:sz w:val="24"/>
                <w:szCs w:val="24"/>
                <w:highlight w:val="none"/>
                <w:lang w:val="en-US" w:eastAsia="zh-CN" w:bidi="ar-SA"/>
              </w:rPr>
              <w:t>年度经营业绩考核总分/100</w:t>
            </w:r>
          </w:p>
        </w:tc>
        <w:tc>
          <w:tcPr>
            <w:tcW w:w="2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13.1376≤X＜13.9104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kern w:val="2"/>
                <w:sz w:val="24"/>
                <w:szCs w:val="24"/>
                <w:highlight w:val="none"/>
                <w:lang w:val="en-US" w:eastAsia="zh-CN" w:bidi="ar-SA"/>
              </w:rPr>
              <w:t>80分（含）到85分（不含）</w:t>
            </w:r>
          </w:p>
        </w:tc>
        <w:tc>
          <w:tcPr>
            <w:tcW w:w="82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8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70%</w:t>
            </w:r>
          </w:p>
        </w:tc>
        <w:tc>
          <w:tcPr>
            <w:tcW w:w="13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21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13.524*</w:t>
            </w:r>
            <w:r>
              <w:rPr>
                <w:rFonts w:hint="eastAsia" w:ascii="仿宋" w:hAnsi="仿宋" w:eastAsia="仿宋" w:cs="仿宋"/>
                <w:color w:val="auto"/>
                <w:kern w:val="2"/>
                <w:sz w:val="24"/>
                <w:szCs w:val="24"/>
                <w:highlight w:val="none"/>
                <w:lang w:val="en-US" w:eastAsia="zh-CN" w:bidi="ar-SA"/>
              </w:rPr>
              <w:t>年度经营业绩考核总分/100</w:t>
            </w:r>
          </w:p>
        </w:tc>
        <w:tc>
          <w:tcPr>
            <w:tcW w:w="2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kern w:val="2"/>
                <w:sz w:val="24"/>
                <w:szCs w:val="24"/>
                <w:highlight w:val="none"/>
                <w:vertAlign w:val="baseline"/>
                <w:lang w:val="en-US" w:eastAsia="zh-CN" w:bidi="ar-SA"/>
              </w:rPr>
              <w:t>10.8192≤X＜11.4954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vertAlign w:val="baseline"/>
                <w:lang w:val="en-US" w:eastAsia="zh-CN" w:bidi="ar-SA"/>
              </w:rPr>
            </w:pPr>
          </w:p>
        </w:tc>
        <w:tc>
          <w:tcPr>
            <w:tcW w:w="1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80分（不含）以下</w:t>
            </w:r>
          </w:p>
        </w:tc>
        <w:tc>
          <w:tcPr>
            <w:tcW w:w="780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kern w:val="2"/>
                <w:sz w:val="24"/>
                <w:szCs w:val="24"/>
                <w:highlight w:val="none"/>
                <w:vertAlign w:val="baseline"/>
                <w:lang w:val="en-US" w:eastAsia="zh-CN" w:bidi="ar-SA"/>
              </w:rPr>
              <w:t>予以解聘，不得发放当年度绩效年薪。（无需再进行年度综合考评）</w:t>
            </w:r>
          </w:p>
        </w:tc>
      </w:tr>
    </w:tbl>
    <w:p>
      <w:pPr>
        <w:spacing w:line="540" w:lineRule="exact"/>
        <w:ind w:firstLine="640" w:firstLineChars="200"/>
        <w:rPr>
          <w:rFonts w:hint="eastAsia" w:ascii="楷体" w:hAnsi="楷体" w:eastAsia="楷体" w:cs="楷体"/>
          <w:b w:val="0"/>
          <w:bCs w:val="0"/>
          <w:color w:val="auto"/>
          <w:sz w:val="32"/>
          <w:szCs w:val="32"/>
          <w:highlight w:val="none"/>
          <w:lang w:val="en-US" w:eastAsia="zh-CN"/>
        </w:rPr>
      </w:pPr>
    </w:p>
    <w:p>
      <w:pPr>
        <w:spacing w:line="540" w:lineRule="exact"/>
        <w:ind w:firstLine="640" w:firstLineChars="200"/>
        <w:rPr>
          <w:rFonts w:hint="eastAsia" w:ascii="楷体" w:hAnsi="楷体" w:eastAsia="楷体" w:cs="仿宋_GB2312"/>
          <w:color w:val="auto"/>
          <w:sz w:val="32"/>
          <w:szCs w:val="32"/>
          <w:highlight w:val="none"/>
        </w:rPr>
      </w:pPr>
      <w:r>
        <w:rPr>
          <w:rFonts w:hint="eastAsia" w:ascii="楷体" w:hAnsi="楷体" w:eastAsia="楷体" w:cs="楷体"/>
          <w:b w:val="0"/>
          <w:bCs w:val="0"/>
          <w:color w:val="auto"/>
          <w:sz w:val="32"/>
          <w:szCs w:val="32"/>
          <w:highlight w:val="none"/>
          <w:lang w:val="en-US" w:eastAsia="zh-CN"/>
        </w:rPr>
        <w:t>（二）年度综合考核评价</w:t>
      </w:r>
    </w:p>
    <w:tbl>
      <w:tblPr>
        <w:tblStyle w:val="8"/>
        <w:tblpPr w:leftFromText="180" w:rightFromText="180" w:vertAnchor="text" w:horzAnchor="page" w:tblpX="1575" w:tblpY="523"/>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893"/>
        <w:gridCol w:w="132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szCs w:val="24"/>
                <w:highlight w:val="none"/>
              </w:rPr>
            </w:pPr>
            <w:r>
              <w:rPr>
                <w:rFonts w:hint="eastAsia" w:ascii="仿宋" w:hAnsi="仿宋" w:eastAsia="仿宋"/>
                <w:b/>
                <w:bCs/>
                <w:color w:val="auto"/>
                <w:sz w:val="24"/>
                <w:highlight w:val="none"/>
              </w:rPr>
              <w:t>指标类别</w:t>
            </w: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bCs/>
                <w:color w:val="auto"/>
                <w:sz w:val="24"/>
                <w:highlight w:val="none"/>
                <w:lang w:val="en-US" w:eastAsia="zh-CN"/>
              </w:rPr>
            </w:pPr>
            <w:r>
              <w:rPr>
                <w:rFonts w:hint="eastAsia" w:ascii="仿宋" w:hAnsi="仿宋" w:eastAsia="仿宋"/>
                <w:b/>
                <w:bCs/>
                <w:color w:val="auto"/>
                <w:sz w:val="24"/>
                <w:highlight w:val="none"/>
                <w:lang w:val="en-US" w:eastAsia="zh-CN"/>
              </w:rPr>
              <w:t>具体指标</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highlight w:val="none"/>
                <w:lang w:eastAsia="zh-CN"/>
              </w:rPr>
            </w:pPr>
            <w:r>
              <w:rPr>
                <w:rFonts w:hint="eastAsia" w:ascii="仿宋" w:hAnsi="仿宋" w:eastAsia="仿宋"/>
                <w:b/>
                <w:bCs/>
                <w:color w:val="auto"/>
                <w:sz w:val="24"/>
                <w:highlight w:val="none"/>
              </w:rPr>
              <w:t>分值</w:t>
            </w:r>
            <w:r>
              <w:rPr>
                <w:rFonts w:hint="eastAsia" w:ascii="仿宋" w:hAnsi="仿宋" w:eastAsia="仿宋"/>
                <w:b/>
                <w:bCs/>
                <w:color w:val="auto"/>
                <w:sz w:val="24"/>
                <w:highlight w:val="none"/>
                <w:lang w:eastAsia="zh-CN"/>
              </w:rPr>
              <w:t>（</w:t>
            </w:r>
            <w:r>
              <w:rPr>
                <w:rFonts w:hint="eastAsia" w:ascii="仿宋" w:hAnsi="仿宋" w:eastAsia="仿宋"/>
                <w:b/>
                <w:bCs/>
                <w:color w:val="auto"/>
                <w:sz w:val="24"/>
                <w:highlight w:val="none"/>
                <w:lang w:val="en-US" w:eastAsia="zh-CN"/>
              </w:rPr>
              <w:t>分</w:t>
            </w:r>
            <w:r>
              <w:rPr>
                <w:rFonts w:hint="eastAsia" w:ascii="仿宋" w:hAnsi="仿宋" w:eastAsia="仿宋"/>
                <w:b/>
                <w:bCs/>
                <w:color w:val="auto"/>
                <w:sz w:val="24"/>
                <w:highlight w:val="none"/>
                <w:lang w:eastAsia="zh-CN"/>
              </w:rPr>
              <w:t>）</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highlight w:val="none"/>
                <w:lang w:val="en-US" w:eastAsia="zh-CN"/>
              </w:rPr>
            </w:pPr>
            <w:r>
              <w:rPr>
                <w:rFonts w:hint="eastAsia" w:ascii="仿宋" w:hAnsi="仿宋" w:eastAsia="仿宋"/>
                <w:b/>
                <w:bCs/>
                <w:color w:val="auto"/>
                <w:sz w:val="24"/>
                <w:highlight w:val="none"/>
                <w:lang w:val="en-US" w:eastAsia="zh-CN"/>
              </w:rPr>
              <w:t>总分（分）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综合考核</w:t>
            </w:r>
          </w:p>
          <w:p>
            <w:pPr>
              <w:spacing w:line="340" w:lineRule="exact"/>
              <w:jc w:val="center"/>
              <w:rPr>
                <w:rFonts w:hint="default" w:ascii="仿宋" w:hAnsi="仿宋" w:eastAsia="仿宋"/>
                <w:b/>
                <w:bCs/>
                <w:color w:val="auto"/>
                <w:sz w:val="24"/>
                <w:highlight w:val="none"/>
                <w:lang w:val="en-US" w:eastAsia="zh-CN"/>
              </w:rPr>
            </w:pPr>
            <w:r>
              <w:rPr>
                <w:rFonts w:hint="eastAsia" w:ascii="仿宋" w:hAnsi="仿宋" w:eastAsia="仿宋"/>
                <w:b w:val="0"/>
                <w:bCs w:val="0"/>
                <w:color w:val="auto"/>
                <w:sz w:val="24"/>
                <w:highlight w:val="none"/>
                <w:lang w:val="en-US" w:eastAsia="zh-CN"/>
              </w:rPr>
              <w:t>评价</w:t>
            </w: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政治表现</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10</w:t>
            </w:r>
          </w:p>
        </w:tc>
        <w:tc>
          <w:tcPr>
            <w:tcW w:w="1324"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能力素质</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10</w:t>
            </w:r>
          </w:p>
        </w:tc>
        <w:tc>
          <w:tcPr>
            <w:tcW w:w="1324"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工作实绩（运用经营业绩考核结果）</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60</w:t>
            </w:r>
          </w:p>
        </w:tc>
        <w:tc>
          <w:tcPr>
            <w:tcW w:w="1324"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highlight w:val="none"/>
                <w:lang w:val="en-US" w:eastAsia="zh-CN"/>
              </w:rPr>
            </w:pPr>
            <w:r>
              <w:rPr>
                <w:rFonts w:hint="eastAsia" w:ascii="仿宋" w:hAnsi="仿宋" w:eastAsia="仿宋"/>
                <w:color w:val="auto"/>
                <w:sz w:val="24"/>
                <w:szCs w:val="24"/>
                <w:highlight w:val="none"/>
                <w:lang w:val="en-US" w:eastAsia="zh-CN"/>
              </w:rPr>
              <w:t>廉洁从业和履行“一岗双责”情况</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15</w:t>
            </w:r>
          </w:p>
        </w:tc>
        <w:tc>
          <w:tcPr>
            <w:tcW w:w="1324"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8" w:type="dxa"/>
            <w:vMerge w:val="continue"/>
            <w:tcBorders>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bCs/>
                <w:color w:val="auto"/>
                <w:sz w:val="24"/>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民主测评</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仿宋" w:hAnsi="仿宋" w:eastAsia="仿宋"/>
                <w:b w:val="0"/>
                <w:bCs w:val="0"/>
                <w:color w:val="auto"/>
                <w:sz w:val="24"/>
                <w:highlight w:val="none"/>
                <w:lang w:val="en-US" w:eastAsia="zh-CN"/>
              </w:rPr>
            </w:pPr>
            <w:r>
              <w:rPr>
                <w:rFonts w:hint="eastAsia" w:ascii="仿宋" w:hAnsi="仿宋" w:eastAsia="仿宋"/>
                <w:b w:val="0"/>
                <w:bCs w:val="0"/>
                <w:color w:val="auto"/>
                <w:sz w:val="24"/>
                <w:highlight w:val="none"/>
                <w:lang w:val="en-US" w:eastAsia="zh-CN"/>
              </w:rPr>
              <w:t>5</w:t>
            </w:r>
          </w:p>
        </w:tc>
        <w:tc>
          <w:tcPr>
            <w:tcW w:w="1324" w:type="dxa"/>
            <w:vMerge w:val="continue"/>
            <w:tcBorders>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val="0"/>
                <w:bCs w:val="0"/>
                <w:color w:val="auto"/>
                <w:sz w:val="24"/>
                <w:highlight w:val="none"/>
                <w:lang w:val="en-US" w:eastAsia="zh-CN"/>
              </w:rPr>
            </w:pPr>
          </w:p>
        </w:tc>
      </w:tr>
    </w:tbl>
    <w:p>
      <w:pPr>
        <w:pStyle w:val="2"/>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1.综合考核评价结果分为优秀、胜任、基本胜任、不胜任4个等次。考核结果标准如下：</w:t>
      </w:r>
    </w:p>
    <w:tbl>
      <w:tblPr>
        <w:tblStyle w:val="8"/>
        <w:tblW w:w="81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0"/>
        <w:gridCol w:w="1744"/>
        <w:gridCol w:w="1669"/>
        <w:gridCol w:w="1987"/>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评价结果</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优秀</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胜任</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基本胜任</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不胜任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综合考核</w:t>
            </w:r>
          </w:p>
          <w:p>
            <w:pPr>
              <w:keepNext w:val="0"/>
              <w:keepLines w:val="0"/>
              <w:widowControl/>
              <w:suppressLineNumbers w:val="0"/>
              <w:jc w:val="center"/>
              <w:textAlignment w:val="center"/>
              <w:rPr>
                <w:rFonts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总分</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分数≥95</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85≤分数＜95</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75≤分数＜85</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分数＜75</w:t>
            </w:r>
          </w:p>
        </w:tc>
      </w:tr>
    </w:tbl>
    <w:p>
      <w:pPr>
        <w:numPr>
          <w:ilvl w:val="0"/>
          <w:numId w:val="2"/>
        </w:numPr>
        <w:spacing w:line="5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年度</w:t>
      </w:r>
      <w:r>
        <w:rPr>
          <w:rFonts w:hint="eastAsia" w:ascii="仿宋" w:hAnsi="仿宋" w:eastAsia="仿宋" w:cs="仿宋"/>
          <w:color w:val="auto"/>
          <w:sz w:val="32"/>
          <w:szCs w:val="32"/>
          <w:highlight w:val="none"/>
          <w:lang w:val="en-US" w:eastAsia="zh-CN"/>
        </w:rPr>
        <w:t>综合</w:t>
      </w:r>
      <w:r>
        <w:rPr>
          <w:rFonts w:hint="eastAsia" w:ascii="仿宋" w:hAnsi="仿宋" w:eastAsia="仿宋" w:cs="仿宋"/>
          <w:color w:val="auto"/>
          <w:sz w:val="32"/>
          <w:szCs w:val="32"/>
          <w:highlight w:val="none"/>
        </w:rPr>
        <w:t>考核</w:t>
      </w:r>
      <w:r>
        <w:rPr>
          <w:rFonts w:hint="eastAsia" w:ascii="仿宋" w:hAnsi="仿宋" w:eastAsia="仿宋" w:cs="仿宋"/>
          <w:color w:val="auto"/>
          <w:sz w:val="32"/>
          <w:szCs w:val="32"/>
          <w:highlight w:val="none"/>
          <w:lang w:val="en-US" w:eastAsia="zh-CN"/>
        </w:rPr>
        <w:t>评价</w:t>
      </w:r>
      <w:r>
        <w:rPr>
          <w:rFonts w:hint="eastAsia" w:ascii="仿宋" w:hAnsi="仿宋" w:eastAsia="仿宋" w:cs="仿宋"/>
          <w:color w:val="auto"/>
          <w:sz w:val="32"/>
          <w:szCs w:val="32"/>
          <w:highlight w:val="none"/>
        </w:rPr>
        <w:t>结果为胜任及以上的，可继续聘用，考核结果为基本胜任的，进行诫勉谈话，考核结果为不胜任或连续两年考核结果均为基本胜任的，解除聘用。</w:t>
      </w:r>
    </w:p>
    <w:p>
      <w:pPr>
        <w:spacing w:line="540" w:lineRule="exact"/>
        <w:ind w:firstLine="640" w:firstLineChars="20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rPr>
        <w:t>第四条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考核</w:t>
      </w:r>
      <w:r>
        <w:rPr>
          <w:rFonts w:hint="eastAsia" w:ascii="黑体" w:hAnsi="黑体" w:eastAsia="黑体"/>
          <w:color w:val="auto"/>
          <w:sz w:val="32"/>
          <w:szCs w:val="32"/>
          <w:highlight w:val="none"/>
          <w:lang w:val="en-US" w:eastAsia="zh-CN"/>
        </w:rPr>
        <w:t>实施与奖惩</w:t>
      </w:r>
    </w:p>
    <w:p>
      <w:pPr>
        <w:keepNext w:val="0"/>
        <w:keepLines w:val="0"/>
        <w:pageBreakBefore w:val="0"/>
        <w:widowControl w:val="0"/>
        <w:numPr>
          <w:ilvl w:val="255"/>
          <w:numId w:val="0"/>
        </w:numPr>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（一）</w:t>
      </w:r>
      <w:r>
        <w:rPr>
          <w:rFonts w:hint="eastAsia" w:ascii="仿宋" w:hAnsi="仿宋" w:eastAsia="仿宋" w:cs="仿宋"/>
          <w:color w:val="auto"/>
          <w:sz w:val="32"/>
          <w:szCs w:val="32"/>
          <w:highlight w:val="none"/>
          <w:lang w:val="en-US" w:eastAsia="zh-CN"/>
        </w:rPr>
        <w:t>考核评价程序。</w:t>
      </w: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1.综合部拟定</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年度经营业绩考核指标。董事长与</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进行沟通，对指标内容、指标权重、计分方式等达成一致。</w:t>
      </w: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CN"/>
        </w:rPr>
        <w:t>汉江控股党委</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年度经营业绩考核指标进行研究讨论后提交董事会，由董事长与</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签订年度经营业绩责任书。</w:t>
      </w: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3.因公司发展战略或年度经营计划更改、岗位分工调整等非个人主观可控原因，</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可申请调整变更经营业绩考核指标，并递交书面材料重新报董事会进行审批确定。</w:t>
      </w:r>
    </w:p>
    <w:p>
      <w:pPr>
        <w:pStyle w:val="3"/>
        <w:keepNext w:val="0"/>
        <w:keepLines w:val="0"/>
        <w:pageBreakBefore w:val="0"/>
        <w:widowControl w:val="0"/>
        <w:kinsoku/>
        <w:overflowPunct/>
        <w:topLinePunct w:val="0"/>
        <w:autoSpaceDE/>
        <w:autoSpaceDN/>
        <w:bidi w:val="0"/>
        <w:adjustRightInd/>
        <w:snapToGrid/>
        <w:spacing w:after="0" w:line="640" w:lineRule="exact"/>
        <w:ind w:left="0" w:leftChars="0" w:firstLine="640" w:firstLineChars="200"/>
        <w:textAlignment w:val="auto"/>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lang w:val="en-US" w:eastAsia="zh-CN"/>
        </w:rPr>
        <w:t>考核期末，公司董事会对职业经理人的经营业绩完成情况进行考核。汉江控股党委组织对职业经理人进行综合考核评价</w:t>
      </w:r>
      <w:r>
        <w:rPr>
          <w:rFonts w:hint="eastAsia" w:ascii="仿宋" w:hAnsi="仿宋" w:eastAsia="仿宋" w:cs="仿宋"/>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）奖惩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1.甲方根据《</w:t>
      </w:r>
      <w:r>
        <w:rPr>
          <w:rFonts w:hint="eastAsia" w:ascii="仿宋" w:hAnsi="仿宋" w:eastAsia="仿宋" w:cs="仿宋"/>
          <w:color w:val="auto"/>
          <w:sz w:val="32"/>
          <w:szCs w:val="32"/>
          <w:highlight w:val="none"/>
          <w:lang w:eastAsia="zh-CN"/>
        </w:rPr>
        <w:t>襄阳云谷投资管理有限公司</w:t>
      </w:r>
      <w:r>
        <w:rPr>
          <w:rFonts w:hint="eastAsia" w:ascii="仿宋" w:hAnsi="仿宋" w:eastAsia="仿宋" w:cs="仿宋"/>
          <w:color w:val="auto"/>
          <w:sz w:val="32"/>
          <w:szCs w:val="32"/>
          <w:highlight w:val="none"/>
        </w:rPr>
        <w:t>职业经理人工作方案》和本责任书的规定对乙方进行</w:t>
      </w:r>
      <w:r>
        <w:rPr>
          <w:rFonts w:hint="eastAsia" w:ascii="仿宋" w:hAnsi="仿宋" w:eastAsia="仿宋" w:cs="仿宋"/>
          <w:color w:val="auto"/>
          <w:sz w:val="32"/>
          <w:szCs w:val="32"/>
          <w:highlight w:val="none"/>
          <w:lang w:val="en-US" w:eastAsia="zh-CN"/>
        </w:rPr>
        <w:t>年度</w:t>
      </w:r>
      <w:r>
        <w:rPr>
          <w:rFonts w:hint="eastAsia" w:ascii="仿宋" w:hAnsi="仿宋" w:eastAsia="仿宋" w:cs="仿宋"/>
          <w:color w:val="auto"/>
          <w:sz w:val="32"/>
          <w:szCs w:val="32"/>
          <w:highlight w:val="none"/>
        </w:rPr>
        <w:t>考核，考核结果直接与乙方</w:t>
      </w:r>
      <w:r>
        <w:rPr>
          <w:rFonts w:hint="eastAsia" w:ascii="仿宋" w:hAnsi="仿宋" w:eastAsia="仿宋" w:cs="仿宋"/>
          <w:color w:val="auto"/>
          <w:sz w:val="32"/>
          <w:szCs w:val="32"/>
          <w:highlight w:val="none"/>
          <w:lang w:val="en-US" w:eastAsia="zh-CN"/>
        </w:rPr>
        <w:t>绩效奖金收入</w:t>
      </w:r>
      <w:r>
        <w:rPr>
          <w:rFonts w:hint="eastAsia" w:ascii="仿宋" w:hAnsi="仿宋" w:eastAsia="仿宋" w:cs="仿宋"/>
          <w:color w:val="auto"/>
          <w:sz w:val="32"/>
          <w:szCs w:val="32"/>
          <w:highlight w:val="none"/>
        </w:rPr>
        <w:t>挂钩。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2.乙方应于考核期结束后按照甲方要求报送反映考核项目及目标完成情况的财务数据和经营情况报告，甲方董事会审查确认后，根据</w:t>
      </w:r>
      <w:r>
        <w:rPr>
          <w:rFonts w:hint="eastAsia" w:ascii="仿宋" w:hAnsi="仿宋" w:eastAsia="仿宋" w:cs="仿宋"/>
          <w:color w:val="auto"/>
          <w:sz w:val="32"/>
          <w:szCs w:val="32"/>
          <w:highlight w:val="none"/>
          <w:lang w:eastAsia="zh-CN"/>
        </w:rPr>
        <w:t>《襄阳云谷投资管理有限公司</w:t>
      </w:r>
      <w:r>
        <w:rPr>
          <w:rFonts w:hint="eastAsia" w:ascii="仿宋" w:hAnsi="仿宋" w:eastAsia="仿宋" w:cs="仿宋"/>
          <w:color w:val="auto"/>
          <w:sz w:val="32"/>
          <w:szCs w:val="32"/>
          <w:highlight w:val="none"/>
        </w:rPr>
        <w:t>职业经理人工作方案</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和本责任书的</w:t>
      </w:r>
      <w:r>
        <w:rPr>
          <w:rFonts w:hint="eastAsia" w:ascii="仿宋" w:hAnsi="仿宋" w:eastAsia="仿宋" w:cs="仿宋"/>
          <w:color w:val="auto"/>
          <w:sz w:val="32"/>
          <w:szCs w:val="32"/>
          <w:highlight w:val="none"/>
        </w:rPr>
        <w:t>有关要求兑现奖惩。</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第五条</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考核结果反馈与申述</w:t>
      </w:r>
    </w:p>
    <w:p>
      <w:pPr>
        <w:keepNext w:val="0"/>
        <w:keepLines w:val="0"/>
        <w:pageBreakBefore w:val="0"/>
        <w:widowControl w:val="0"/>
        <w:numPr>
          <w:ilvl w:val="255"/>
          <w:numId w:val="0"/>
        </w:numPr>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考核</w:t>
      </w:r>
      <w:r>
        <w:rPr>
          <w:rFonts w:hint="eastAsia" w:ascii="仿宋" w:hAnsi="仿宋" w:eastAsia="仿宋" w:cs="仿宋"/>
          <w:color w:val="auto"/>
          <w:sz w:val="32"/>
          <w:szCs w:val="32"/>
          <w:highlight w:val="none"/>
          <w:lang w:val="en-US" w:eastAsia="zh-CN"/>
        </w:rPr>
        <w:t>结果反馈和申述</w:t>
      </w:r>
      <w:r>
        <w:rPr>
          <w:rFonts w:hint="eastAsia" w:ascii="仿宋" w:hAnsi="仿宋" w:eastAsia="仿宋" w:cs="仿宋"/>
          <w:color w:val="auto"/>
          <w:sz w:val="32"/>
          <w:szCs w:val="32"/>
          <w:highlight w:val="none"/>
        </w:rPr>
        <w:t>流程依据《</w:t>
      </w:r>
      <w:r>
        <w:rPr>
          <w:rFonts w:hint="eastAsia" w:ascii="仿宋" w:hAnsi="仿宋" w:eastAsia="仿宋" w:cs="仿宋"/>
          <w:color w:val="auto"/>
          <w:sz w:val="32"/>
          <w:szCs w:val="32"/>
          <w:highlight w:val="none"/>
          <w:lang w:eastAsia="zh-CN"/>
        </w:rPr>
        <w:t>襄阳云谷投资管理有限公司</w:t>
      </w:r>
      <w:r>
        <w:rPr>
          <w:rFonts w:hint="eastAsia" w:ascii="仿宋" w:hAnsi="仿宋" w:eastAsia="仿宋" w:cs="仿宋"/>
          <w:color w:val="auto"/>
          <w:sz w:val="32"/>
          <w:szCs w:val="32"/>
          <w:highlight w:val="none"/>
        </w:rPr>
        <w:t>职业经理人工作方案》第</w:t>
      </w:r>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rPr>
        <w:t>章</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业绩目标和考核评价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相关规定执行。</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b w:val="0"/>
          <w:bCs w:val="0"/>
          <w:color w:val="auto"/>
          <w:sz w:val="32"/>
          <w:szCs w:val="32"/>
          <w:highlight w:val="none"/>
        </w:rPr>
        <w:t>条  责任书的变更、解除和终止</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1.责任书生效后即具有法律约束力，不得随意变更或解除；特殊情况如清产核资、股权变更等导致对乙方考核责任目标发生变化的，甲方可结合具体情况变更责任书相关内容。</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2.如遇上级部门（单位）对甲方考核指标调整，致本责任书规定与之不符，或其他不可抗力影响，致使甲乙双方确定的考核责任目标明显不适用，经双方协商一致，可修改或变更责任书的有关条款直至解除。</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3.乙方根据前款提出变更或解除本责任书，应向甲方提交变更或者解除责任书的申请</w:t>
      </w:r>
      <w:r>
        <w:rPr>
          <w:rFonts w:hint="eastAsia" w:ascii="仿宋" w:hAnsi="仿宋" w:eastAsia="仿宋" w:cs="仿宋"/>
          <w:color w:val="auto"/>
          <w:sz w:val="32"/>
          <w:szCs w:val="32"/>
          <w:highlight w:val="none"/>
          <w:lang w:eastAsia="zh-CN"/>
        </w:rPr>
        <w:t>及其他材料</w:t>
      </w:r>
      <w:r>
        <w:rPr>
          <w:rFonts w:hint="eastAsia" w:ascii="仿宋" w:hAnsi="仿宋" w:eastAsia="仿宋" w:cs="仿宋"/>
          <w:color w:val="auto"/>
          <w:sz w:val="32"/>
          <w:szCs w:val="32"/>
          <w:highlight w:val="none"/>
        </w:rPr>
        <w:t>依据，应同时提交董事会决议，经甲方审核同意后，方可变更或解除。</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考核期结束，责任书履行完毕后，自行终止。即使责任书终止，也不能免除乙方在考核期内因违反国家法律法规和政策规章，导致重大决策失误、重大安全与质量责任事故、重大违纪事件，给甲方造成重大经济、声誉损失或造成国有资产流失而应承担的责任。</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val="en-US" w:eastAsia="zh-CN"/>
        </w:rPr>
        <w:t>七</w:t>
      </w:r>
      <w:r>
        <w:rPr>
          <w:rFonts w:hint="eastAsia" w:ascii="黑体" w:hAnsi="黑体" w:eastAsia="黑体" w:cs="黑体"/>
          <w:b w:val="0"/>
          <w:bCs w:val="0"/>
          <w:color w:val="auto"/>
          <w:sz w:val="32"/>
          <w:szCs w:val="32"/>
          <w:highlight w:val="none"/>
        </w:rPr>
        <w:t>条  生效及效力</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本责任书经甲方法定代表人与乙方签字，并加盖公章后生效。</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val="en-US" w:eastAsia="zh-CN"/>
        </w:rPr>
        <w:t>八</w:t>
      </w:r>
      <w:r>
        <w:rPr>
          <w:rFonts w:hint="eastAsia" w:ascii="黑体" w:hAnsi="黑体" w:eastAsia="黑体" w:cs="黑体"/>
          <w:b w:val="0"/>
          <w:bCs w:val="0"/>
          <w:color w:val="auto"/>
          <w:sz w:val="32"/>
          <w:szCs w:val="32"/>
          <w:highlight w:val="none"/>
        </w:rPr>
        <w:t>条  附则</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1、本责任书未尽事宜甲乙双方另行协商，并可签订补充文件，作为本责任书附件。责任书附件是本责任书不可分割的组成部分，具有同等约束力。</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olor w:val="auto"/>
          <w:sz w:val="32"/>
          <w:szCs w:val="32"/>
          <w:highlight w:val="none"/>
        </w:rPr>
        <w:t>责任书正本</w:t>
      </w:r>
      <w:r>
        <w:rPr>
          <w:rFonts w:hint="eastAsia" w:ascii="仿宋" w:hAnsi="仿宋" w:eastAsia="仿宋"/>
          <w:color w:val="auto"/>
          <w:sz w:val="32"/>
          <w:szCs w:val="32"/>
          <w:highlight w:val="none"/>
          <w:lang w:eastAsia="zh-CN"/>
        </w:rPr>
        <w:t>一式两份</w:t>
      </w:r>
      <w:r>
        <w:rPr>
          <w:rFonts w:hint="eastAsia" w:ascii="仿宋" w:hAnsi="仿宋" w:eastAsia="仿宋"/>
          <w:color w:val="auto"/>
          <w:sz w:val="32"/>
          <w:szCs w:val="32"/>
          <w:highlight w:val="none"/>
        </w:rPr>
        <w:t>，甲方、乙方各执一份</w:t>
      </w:r>
      <w:r>
        <w:rPr>
          <w:rFonts w:hint="eastAsia" w:ascii="仿宋" w:hAnsi="仿宋" w:eastAsia="仿宋" w:cs="仿宋"/>
          <w:color w:val="auto"/>
          <w:sz w:val="32"/>
          <w:szCs w:val="32"/>
          <w:highlight w:val="none"/>
        </w:rPr>
        <w:t>。</w:t>
      </w:r>
    </w:p>
    <w:p>
      <w:pPr>
        <w:pStyle w:val="2"/>
      </w:pPr>
    </w:p>
    <w:p>
      <w:pPr>
        <w:keepNext w:val="0"/>
        <w:keepLines w:val="0"/>
        <w:pageBreakBefore w:val="0"/>
        <w:widowControl w:val="0"/>
        <w:kinsoku/>
        <w:wordWrap w:val="0"/>
        <w:overflowPunct/>
        <w:topLinePunct w:val="0"/>
        <w:autoSpaceDE/>
        <w:autoSpaceDN/>
        <w:bidi w:val="0"/>
        <w:adjustRightInd/>
        <w:snapToGrid/>
        <w:spacing w:line="560" w:lineRule="exact"/>
        <w:ind w:left="1598" w:leftChars="304" w:hanging="960" w:hangingChars="3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襄阳云谷投资管理有限公司</w:t>
      </w:r>
      <w:r>
        <w:rPr>
          <w:rFonts w:hint="eastAsia" w:ascii="仿宋" w:hAnsi="仿宋" w:eastAsia="仿宋" w:cs="仿宋"/>
          <w:color w:val="auto"/>
          <w:sz w:val="32"/>
          <w:szCs w:val="32"/>
          <w:highlight w:val="none"/>
          <w:lang w:val="en-US" w:eastAsia="zh-CN"/>
        </w:rPr>
        <w:t>职业经理人_____</w:t>
      </w:r>
      <w:r>
        <w:rPr>
          <w:rFonts w:hint="eastAsia" w:ascii="仿宋" w:hAnsi="仿宋" w:eastAsia="仿宋" w:cs="仿宋"/>
          <w:color w:val="auto"/>
          <w:sz w:val="32"/>
          <w:szCs w:val="32"/>
          <w:highlight w:val="none"/>
        </w:rPr>
        <w:t>年度</w:t>
      </w:r>
      <w:r>
        <w:rPr>
          <w:rFonts w:hint="eastAsia" w:ascii="仿宋" w:hAnsi="仿宋" w:eastAsia="仿宋" w:cs="仿宋"/>
          <w:color w:val="auto"/>
          <w:sz w:val="32"/>
          <w:szCs w:val="32"/>
          <w:highlight w:val="none"/>
          <w:lang w:val="en-US" w:eastAsia="zh-CN"/>
        </w:rPr>
        <w:t>经营业绩</w:t>
      </w:r>
      <w:r>
        <w:rPr>
          <w:rFonts w:hint="eastAsia" w:ascii="仿宋" w:hAnsi="仿宋" w:eastAsia="仿宋" w:cs="仿宋"/>
          <w:color w:val="auto"/>
          <w:sz w:val="32"/>
          <w:szCs w:val="32"/>
          <w:highlight w:val="none"/>
        </w:rPr>
        <w:t>考核指标表</w:t>
      </w:r>
    </w:p>
    <w:p>
      <w:pPr>
        <w:keepNext w:val="0"/>
        <w:keepLines w:val="0"/>
        <w:pageBreakBefore w:val="0"/>
        <w:widowControl w:val="0"/>
        <w:kinsoku/>
        <w:wordWrap w:val="0"/>
        <w:overflowPunct/>
        <w:topLinePunct w:val="0"/>
        <w:autoSpaceDE/>
        <w:autoSpaceDN/>
        <w:bidi w:val="0"/>
        <w:adjustRightInd/>
        <w:snapToGrid/>
        <w:spacing w:line="560" w:lineRule="exact"/>
        <w:ind w:left="1596" w:leftChars="760" w:firstLine="0" w:firstLineChars="0"/>
        <w:textAlignment w:val="auto"/>
        <w:rPr>
          <w:rFonts w:ascii="仿宋_GB2312" w:eastAsia="仿宋_GB2312"/>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襄阳云谷投资管理有限公司</w:t>
      </w:r>
      <w:r>
        <w:rPr>
          <w:rFonts w:hint="eastAsia" w:ascii="仿宋" w:hAnsi="仿宋" w:eastAsia="仿宋" w:cs="仿宋"/>
          <w:color w:val="auto"/>
          <w:sz w:val="32"/>
          <w:szCs w:val="32"/>
          <w:highlight w:val="none"/>
          <w:lang w:val="en-US" w:eastAsia="zh-CN"/>
        </w:rPr>
        <w:t>职业经理人_____</w:t>
      </w:r>
      <w:r>
        <w:rPr>
          <w:rFonts w:hint="eastAsia" w:ascii="仿宋" w:hAnsi="仿宋" w:eastAsia="仿宋" w:cs="仿宋"/>
          <w:color w:val="auto"/>
          <w:sz w:val="32"/>
          <w:szCs w:val="32"/>
          <w:highlight w:val="none"/>
        </w:rPr>
        <w:t>年度</w:t>
      </w:r>
      <w:r>
        <w:rPr>
          <w:rFonts w:hint="eastAsia" w:ascii="仿宋" w:hAnsi="仿宋" w:eastAsia="仿宋" w:cs="仿宋"/>
          <w:color w:val="auto"/>
          <w:sz w:val="32"/>
          <w:szCs w:val="32"/>
          <w:highlight w:val="none"/>
          <w:lang w:val="en-US" w:eastAsia="zh-CN"/>
        </w:rPr>
        <w:t>综合考核评价</w:t>
      </w:r>
      <w:r>
        <w:rPr>
          <w:rFonts w:hint="eastAsia" w:ascii="仿宋" w:hAnsi="仿宋" w:eastAsia="仿宋" w:cs="仿宋"/>
          <w:color w:val="auto"/>
          <w:sz w:val="32"/>
          <w:szCs w:val="32"/>
          <w:highlight w:val="none"/>
        </w:rPr>
        <w:t>指标表</w:t>
      </w:r>
    </w:p>
    <w:p>
      <w:pPr>
        <w:wordWrap w:val="0"/>
        <w:spacing w:line="560" w:lineRule="exact"/>
        <w:rPr>
          <w:rFonts w:ascii="仿宋_GB2312" w:eastAsia="仿宋_GB2312"/>
          <w:color w:val="auto"/>
          <w:sz w:val="32"/>
          <w:szCs w:val="32"/>
          <w:highlight w:val="none"/>
        </w:rPr>
      </w:pPr>
    </w:p>
    <w:p>
      <w:pPr>
        <w:pStyle w:val="2"/>
        <w:rPr>
          <w:color w:val="auto"/>
          <w:highlight w:val="none"/>
        </w:rPr>
      </w:pPr>
    </w:p>
    <w:p>
      <w:pPr>
        <w:wordWrap w:val="0"/>
        <w:spacing w:line="240" w:lineRule="auto"/>
        <w:rPr>
          <w:rFonts w:hint="eastAsia" w:ascii="仿宋" w:hAnsi="仿宋" w:eastAsia="仿宋"/>
          <w:b/>
          <w:color w:val="auto"/>
          <w:sz w:val="32"/>
          <w:szCs w:val="32"/>
          <w:highlight w:val="none"/>
        </w:rPr>
      </w:pPr>
    </w:p>
    <w:p>
      <w:pPr>
        <w:wordWrap w:val="0"/>
        <w:spacing w:line="240" w:lineRule="auto"/>
        <w:rPr>
          <w:rFonts w:hint="eastAsia" w:ascii="仿宋" w:hAnsi="仿宋" w:eastAsia="仿宋"/>
          <w:b/>
          <w:color w:val="auto"/>
          <w:sz w:val="32"/>
          <w:szCs w:val="32"/>
          <w:highlight w:val="none"/>
        </w:rPr>
      </w:pPr>
    </w:p>
    <w:p>
      <w:pPr>
        <w:wordWrap w:val="0"/>
        <w:spacing w:line="240" w:lineRule="auto"/>
        <w:rPr>
          <w:rFonts w:ascii="仿宋" w:hAnsi="仿宋" w:eastAsia="仿宋"/>
          <w:b/>
          <w:bCs/>
          <w:color w:val="auto"/>
          <w:sz w:val="32"/>
          <w:szCs w:val="32"/>
          <w:highlight w:val="none"/>
        </w:rPr>
      </w:pPr>
      <w:r>
        <w:rPr>
          <w:rFonts w:hint="eastAsia" w:ascii="仿宋" w:hAnsi="仿宋" w:eastAsia="仿宋"/>
          <w:b/>
          <w:color w:val="auto"/>
          <w:sz w:val="32"/>
          <w:szCs w:val="32"/>
          <w:highlight w:val="none"/>
        </w:rPr>
        <w:t>甲  方：</w:t>
      </w:r>
      <w:r>
        <w:rPr>
          <w:rFonts w:hint="eastAsia" w:ascii="仿宋" w:hAnsi="仿宋" w:eastAsia="仿宋"/>
          <w:b/>
          <w:bCs/>
          <w:color w:val="auto"/>
          <w:sz w:val="32"/>
          <w:szCs w:val="32"/>
          <w:highlight w:val="none"/>
        </w:rPr>
        <w:t xml:space="preserve">（盖章） </w:t>
      </w:r>
      <w:r>
        <w:rPr>
          <w:rFonts w:ascii="仿宋" w:hAnsi="仿宋" w:eastAsia="仿宋"/>
          <w:b/>
          <w:bCs/>
          <w:color w:val="auto"/>
          <w:sz w:val="32"/>
          <w:szCs w:val="32"/>
          <w:highlight w:val="none"/>
        </w:rPr>
        <w:t xml:space="preserve">              </w:t>
      </w:r>
      <w:r>
        <w:rPr>
          <w:rFonts w:hint="eastAsia" w:ascii="仿宋" w:hAnsi="仿宋" w:eastAsia="仿宋"/>
          <w:b/>
          <w:bCs/>
          <w:color w:val="auto"/>
          <w:sz w:val="32"/>
          <w:szCs w:val="32"/>
          <w:highlight w:val="none"/>
        </w:rPr>
        <w:t xml:space="preserve">   </w:t>
      </w:r>
      <w:r>
        <w:rPr>
          <w:rFonts w:ascii="仿宋" w:hAnsi="仿宋" w:eastAsia="仿宋"/>
          <w:b/>
          <w:bCs/>
          <w:color w:val="auto"/>
          <w:sz w:val="32"/>
          <w:szCs w:val="32"/>
          <w:highlight w:val="none"/>
        </w:rPr>
        <w:t xml:space="preserve"> </w:t>
      </w:r>
      <w:r>
        <w:rPr>
          <w:rFonts w:hint="eastAsia" w:ascii="仿宋" w:hAnsi="仿宋" w:eastAsia="仿宋"/>
          <w:b/>
          <w:bCs/>
          <w:color w:val="auto"/>
          <w:sz w:val="32"/>
          <w:szCs w:val="32"/>
          <w:highlight w:val="none"/>
        </w:rPr>
        <w:t xml:space="preserve">  </w:t>
      </w:r>
      <w:r>
        <w:rPr>
          <w:rFonts w:hint="eastAsia" w:ascii="仿宋" w:hAnsi="仿宋" w:eastAsia="仿宋"/>
          <w:b/>
          <w:color w:val="auto"/>
          <w:sz w:val="32"/>
          <w:szCs w:val="32"/>
          <w:highlight w:val="none"/>
        </w:rPr>
        <w:t>乙  方：</w:t>
      </w:r>
    </w:p>
    <w:p>
      <w:pPr>
        <w:wordWrap w:val="0"/>
        <w:spacing w:line="240" w:lineRule="auto"/>
        <w:rPr>
          <w:rFonts w:ascii="仿宋" w:hAnsi="仿宋" w:eastAsia="仿宋"/>
          <w:color w:val="auto"/>
          <w:sz w:val="32"/>
          <w:szCs w:val="32"/>
          <w:highlight w:val="none"/>
        </w:rPr>
      </w:pPr>
      <w:r>
        <w:rPr>
          <w:rFonts w:hint="eastAsia" w:ascii="仿宋" w:hAnsi="仿宋" w:eastAsia="仿宋"/>
          <w:b/>
          <w:bCs/>
          <w:color w:val="auto"/>
          <w:sz w:val="32"/>
          <w:szCs w:val="32"/>
          <w:highlight w:val="none"/>
        </w:rPr>
        <w:t>法定代表人签字：</w:t>
      </w:r>
      <w:r>
        <w:rPr>
          <w:rFonts w:hint="eastAsia" w:ascii="仿宋" w:hAnsi="仿宋" w:eastAsia="仿宋"/>
          <w:color w:val="auto"/>
          <w:sz w:val="32"/>
          <w:szCs w:val="32"/>
          <w:highlight w:val="none"/>
        </w:rPr>
        <w:t xml:space="preserve">        </w:t>
      </w:r>
    </w:p>
    <w:p>
      <w:pPr>
        <w:wordWrap w:val="0"/>
        <w:spacing w:line="240" w:lineRule="auto"/>
        <w:jc w:val="left"/>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 xml:space="preserve">年  月  日 </w:t>
      </w:r>
      <w:r>
        <w:rPr>
          <w:rFonts w:ascii="仿宋" w:hAnsi="仿宋" w:eastAsia="仿宋"/>
          <w:b/>
          <w:bCs/>
          <w:color w:val="auto"/>
          <w:sz w:val="32"/>
          <w:szCs w:val="32"/>
          <w:highlight w:val="none"/>
        </w:rPr>
        <w:t xml:space="preserve">                  </w:t>
      </w:r>
      <w:r>
        <w:rPr>
          <w:rFonts w:hint="eastAsia" w:ascii="仿宋" w:hAnsi="仿宋" w:eastAsia="仿宋"/>
          <w:b/>
          <w:bCs/>
          <w:color w:val="auto"/>
          <w:sz w:val="32"/>
          <w:szCs w:val="32"/>
          <w:highlight w:val="none"/>
        </w:rPr>
        <w:t xml:space="preserve">      年  月  日</w:t>
      </w:r>
    </w:p>
    <w:p>
      <w:pPr>
        <w:wordWrap w:val="0"/>
        <w:spacing w:line="560" w:lineRule="exact"/>
        <w:jc w:val="left"/>
        <w:rPr>
          <w:rFonts w:hint="eastAsia" w:ascii="黑体" w:hAnsi="黑体" w:eastAsia="黑体" w:cs="黑体"/>
          <w:b w:val="0"/>
          <w:bCs w:val="0"/>
          <w:color w:val="auto"/>
          <w:sz w:val="32"/>
          <w:szCs w:val="32"/>
          <w:highlight w:val="none"/>
          <w:lang w:val="en-US" w:eastAsia="zh-CN"/>
        </w:rPr>
        <w:sectPr>
          <w:headerReference r:id="rId3" w:type="default"/>
          <w:footerReference r:id="rId4" w:type="default"/>
          <w:pgSz w:w="11906" w:h="16838"/>
          <w:pgMar w:top="2098" w:right="1474" w:bottom="1984" w:left="1587" w:header="851" w:footer="992" w:gutter="0"/>
          <w:cols w:space="425" w:num="1"/>
          <w:docGrid w:type="lines" w:linePitch="312" w:charSpace="0"/>
        </w:sectPr>
      </w:pPr>
    </w:p>
    <w:tbl>
      <w:tblPr>
        <w:tblStyle w:val="8"/>
        <w:tblpPr w:leftFromText="180" w:rightFromText="180" w:vertAnchor="text" w:horzAnchor="page" w:tblpXSpec="center" w:tblpY="291"/>
        <w:tblOverlap w:val="never"/>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803"/>
        <w:gridCol w:w="985"/>
        <w:gridCol w:w="1168"/>
        <w:gridCol w:w="1896"/>
        <w:gridCol w:w="6437"/>
        <w:gridCol w:w="1106"/>
        <w:gridCol w:w="909"/>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jc w:val="center"/>
        </w:trPr>
        <w:tc>
          <w:tcPr>
            <w:tcW w:w="15480"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b/>
                <w:bCs/>
                <w:i w:val="0"/>
                <w:iCs w:val="0"/>
                <w:color w:val="auto"/>
                <w:kern w:val="0"/>
                <w:sz w:val="32"/>
                <w:szCs w:val="32"/>
                <w:highlight w:val="none"/>
                <w:u w:val="none"/>
                <w:lang w:val="en-US" w:eastAsia="zh-CN" w:bidi="ar"/>
              </w:rPr>
            </w:pPr>
            <w:r>
              <w:rPr>
                <w:rFonts w:hint="eastAsia" w:ascii="宋体" w:hAnsi="宋体" w:eastAsia="宋体" w:cs="宋体"/>
                <w:b/>
                <w:bCs/>
                <w:i w:val="0"/>
                <w:iCs w:val="0"/>
                <w:color w:val="auto"/>
                <w:kern w:val="0"/>
                <w:sz w:val="32"/>
                <w:szCs w:val="32"/>
                <w:highlight w:val="none"/>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15480"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 xml:space="preserve">      襄阳云谷投资管理有限公司职业经理人______年度经营业绩考核指标表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51" w:type="dxa"/>
            <w:gridSpan w:val="6"/>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被考核人：</w:t>
            </w:r>
          </w:p>
        </w:tc>
        <w:tc>
          <w:tcPr>
            <w:tcW w:w="3329" w:type="dxa"/>
            <w:gridSpan w:val="3"/>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岗位：副总经理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jc w:val="center"/>
        </w:trPr>
        <w:tc>
          <w:tcPr>
            <w:tcW w:w="8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bCs/>
                <w:i w:val="0"/>
                <w:iCs w:val="0"/>
                <w:color w:val="auto"/>
                <w:sz w:val="24"/>
                <w:szCs w:val="24"/>
                <w:highlight w:val="none"/>
                <w:u w:val="none"/>
              </w:rPr>
            </w:pPr>
          </w:p>
        </w:tc>
        <w:tc>
          <w:tcPr>
            <w:tcW w:w="8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bCs/>
                <w:i w:val="0"/>
                <w:iCs w:val="0"/>
                <w:color w:val="auto"/>
                <w:sz w:val="24"/>
                <w:szCs w:val="24"/>
                <w:highlight w:val="none"/>
                <w:u w:val="none"/>
                <w:lang w:val="en-US" w:eastAsia="zh-CN"/>
              </w:rPr>
            </w:pPr>
            <w:r>
              <w:rPr>
                <w:rFonts w:hint="eastAsia" w:ascii="仿宋_GB2312" w:hAnsi="宋体" w:eastAsia="仿宋_GB2312" w:cs="仿宋_GB2312"/>
                <w:b/>
                <w:bCs/>
                <w:i w:val="0"/>
                <w:iCs w:val="0"/>
                <w:color w:val="auto"/>
                <w:sz w:val="24"/>
                <w:szCs w:val="24"/>
                <w:highlight w:val="none"/>
                <w:u w:val="none"/>
                <w:lang w:val="en-US" w:eastAsia="zh-CN"/>
              </w:rPr>
              <w:t>序号</w:t>
            </w:r>
          </w:p>
        </w:tc>
        <w:tc>
          <w:tcPr>
            <w:tcW w:w="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kern w:val="0"/>
                <w:sz w:val="24"/>
                <w:szCs w:val="24"/>
                <w:highlight w:val="none"/>
                <w:u w:val="none"/>
                <w:lang w:val="en-US" w:eastAsia="zh-CN" w:bidi="ar"/>
              </w:rPr>
            </w:pPr>
            <w:r>
              <w:rPr>
                <w:rFonts w:hint="default" w:ascii="仿宋_GB2312" w:hAnsi="宋体" w:eastAsia="仿宋_GB2312" w:cs="仿宋_GB2312"/>
                <w:b/>
                <w:bCs/>
                <w:i w:val="0"/>
                <w:iCs w:val="0"/>
                <w:color w:val="auto"/>
                <w:kern w:val="0"/>
                <w:sz w:val="24"/>
                <w:szCs w:val="24"/>
                <w:highlight w:val="none"/>
                <w:u w:val="none"/>
                <w:lang w:val="en-US" w:eastAsia="zh-CN" w:bidi="ar"/>
              </w:rPr>
              <w:t>具体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kern w:val="2"/>
                <w:sz w:val="24"/>
                <w:szCs w:val="24"/>
                <w:highlight w:val="none"/>
                <w:u w:val="none"/>
                <w:lang w:val="en-US" w:eastAsia="zh-CN" w:bidi="ar-SA"/>
              </w:rPr>
            </w:pPr>
            <w:r>
              <w:rPr>
                <w:rFonts w:hint="default" w:ascii="仿宋_GB2312" w:hAnsi="宋体" w:eastAsia="仿宋_GB2312" w:cs="仿宋_GB2312"/>
                <w:b/>
                <w:bCs/>
                <w:i w:val="0"/>
                <w:iCs w:val="0"/>
                <w:color w:val="auto"/>
                <w:kern w:val="0"/>
                <w:sz w:val="24"/>
                <w:szCs w:val="24"/>
                <w:highlight w:val="none"/>
                <w:u w:val="none"/>
                <w:lang w:val="en-US" w:eastAsia="zh-CN" w:bidi="ar"/>
              </w:rPr>
              <w:t>指标</w:t>
            </w:r>
          </w:p>
        </w:tc>
        <w:tc>
          <w:tcPr>
            <w:tcW w:w="116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kern w:val="0"/>
                <w:sz w:val="24"/>
                <w:szCs w:val="24"/>
                <w:highlight w:val="none"/>
                <w:u w:val="none"/>
                <w:lang w:val="en-US" w:eastAsia="zh-CN" w:bidi="ar"/>
              </w:rPr>
            </w:pPr>
            <w:r>
              <w:rPr>
                <w:rFonts w:hint="default" w:ascii="仿宋_GB2312" w:hAnsi="宋体" w:eastAsia="仿宋_GB2312" w:cs="仿宋_GB2312"/>
                <w:b/>
                <w:bCs/>
                <w:i w:val="0"/>
                <w:iCs w:val="0"/>
                <w:color w:val="auto"/>
                <w:kern w:val="0"/>
                <w:sz w:val="24"/>
                <w:szCs w:val="24"/>
                <w:highlight w:val="none"/>
                <w:u w:val="none"/>
                <w:lang w:val="en-US" w:eastAsia="zh-CN" w:bidi="ar"/>
              </w:rPr>
              <w:t>考核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权重</w:t>
            </w:r>
          </w:p>
        </w:tc>
        <w:tc>
          <w:tcPr>
            <w:tcW w:w="18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目标值</w:t>
            </w:r>
          </w:p>
        </w:tc>
        <w:tc>
          <w:tcPr>
            <w:tcW w:w="6437"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计分规则</w:t>
            </w:r>
          </w:p>
        </w:tc>
        <w:tc>
          <w:tcPr>
            <w:tcW w:w="11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kern w:val="0"/>
                <w:sz w:val="24"/>
                <w:szCs w:val="24"/>
                <w:highlight w:val="none"/>
                <w:u w:val="none"/>
                <w:lang w:val="en-US" w:eastAsia="zh-CN" w:bidi="ar"/>
              </w:rPr>
            </w:pPr>
            <w:r>
              <w:rPr>
                <w:rFonts w:hint="default" w:ascii="仿宋_GB2312" w:hAnsi="宋体" w:eastAsia="仿宋_GB2312" w:cs="仿宋_GB2312"/>
                <w:b/>
                <w:bCs/>
                <w:i w:val="0"/>
                <w:iCs w:val="0"/>
                <w:color w:val="auto"/>
                <w:kern w:val="0"/>
                <w:sz w:val="24"/>
                <w:szCs w:val="24"/>
                <w:highlight w:val="none"/>
                <w:u w:val="none"/>
                <w:lang w:val="en-US" w:eastAsia="zh-CN" w:bidi="ar"/>
              </w:rPr>
              <w:t>数据</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来源</w:t>
            </w:r>
          </w:p>
        </w:tc>
        <w:tc>
          <w:tcPr>
            <w:tcW w:w="909"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评分</w:t>
            </w:r>
          </w:p>
        </w:tc>
        <w:tc>
          <w:tcPr>
            <w:tcW w:w="13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8" w:hRule="atLeast"/>
          <w:jc w:val="center"/>
        </w:trPr>
        <w:tc>
          <w:tcPr>
            <w:tcW w:w="862" w:type="dxa"/>
            <w:vMerge w:val="restart"/>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考</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auto"/>
                <w:sz w:val="22"/>
                <w:szCs w:val="22"/>
                <w:highlight w:val="none"/>
                <w:u w:val="none"/>
                <w:lang w:val="en-US"/>
              </w:rPr>
            </w:pPr>
          </w:p>
        </w:tc>
        <w:tc>
          <w:tcPr>
            <w:tcW w:w="8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w:t>
            </w:r>
          </w:p>
        </w:tc>
        <w:tc>
          <w:tcPr>
            <w:tcW w:w="9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营业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sz w:val="22"/>
                <w:szCs w:val="22"/>
                <w:highlight w:val="none"/>
                <w:u w:val="none"/>
                <w:lang w:val="en-US" w:eastAsia="zh-CN"/>
              </w:rPr>
              <w:t>收入</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single"/>
                <w:lang w:val="en-US" w:eastAsia="zh-CN" w:bidi="ar"/>
              </w:rPr>
              <w:t xml:space="preserve">    </w:t>
            </w:r>
            <w:r>
              <w:rPr>
                <w:rFonts w:hint="eastAsia" w:ascii="仿宋" w:hAnsi="仿宋" w:eastAsia="仿宋" w:cs="仿宋"/>
                <w:i w:val="0"/>
                <w:iCs w:val="0"/>
                <w:color w:val="auto"/>
                <w:kern w:val="0"/>
                <w:sz w:val="22"/>
                <w:szCs w:val="22"/>
                <w:highlight w:val="none"/>
                <w:u w:val="none"/>
                <w:lang w:val="en-US" w:eastAsia="zh-CN" w:bidi="ar"/>
              </w:rPr>
              <w:t>%</w:t>
            </w:r>
          </w:p>
        </w:tc>
        <w:tc>
          <w:tcPr>
            <w:tcW w:w="189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目标值_____万元</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基本分*分；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1.完成目标值得*分，每超过目标值1%在基本分的基础上加1分，</w:t>
            </w:r>
            <w:r>
              <w:rPr>
                <w:rFonts w:ascii="仿宋" w:hAnsi="仿宋" w:eastAsia="仿宋" w:cs="仿宋"/>
                <w:color w:val="000000"/>
                <w:kern w:val="0"/>
                <w:sz w:val="22"/>
                <w:szCs w:val="22"/>
                <w:lang w:val="en-US" w:eastAsia="zh-CN" w:bidi="ar"/>
              </w:rPr>
              <w:t>本项加分上限为基本分的20%分</w:t>
            </w:r>
            <w:r>
              <w:rPr>
                <w:rFonts w:hint="eastAsia" w:ascii="仿宋" w:hAnsi="仿宋" w:eastAsia="仿宋" w:cs="仿宋"/>
                <w:i w:val="0"/>
                <w:iCs w:val="0"/>
                <w:color w:val="auto"/>
                <w:kern w:val="0"/>
                <w:sz w:val="22"/>
                <w:szCs w:val="22"/>
                <w:highlight w:val="none"/>
                <w:u w:val="none"/>
                <w:lang w:val="en-US" w:eastAsia="zh-CN" w:bidi="ar"/>
              </w:rPr>
              <w:t>；</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2.未完成目标值，按照实际完成率核算得分。</w:t>
            </w:r>
          </w:p>
        </w:tc>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auto"/>
                <w:sz w:val="22"/>
                <w:szCs w:val="22"/>
                <w:highlight w:val="none"/>
                <w:u w:val="none"/>
                <w:lang w:val="en-US"/>
              </w:rPr>
            </w:pPr>
            <w:r>
              <w:rPr>
                <w:rFonts w:hint="eastAsia" w:ascii="仿宋" w:hAnsi="仿宋" w:eastAsia="仿宋" w:cs="仿宋"/>
                <w:i w:val="0"/>
                <w:iCs w:val="0"/>
                <w:color w:val="auto"/>
                <w:kern w:val="0"/>
                <w:sz w:val="22"/>
                <w:szCs w:val="22"/>
                <w:highlight w:val="none"/>
                <w:u w:val="none"/>
                <w:lang w:val="en-US" w:eastAsia="zh-CN" w:bidi="ar"/>
              </w:rPr>
              <w:t>聘用公司财务部提供数据，汉江控股财务部确认</w:t>
            </w:r>
          </w:p>
        </w:tc>
        <w:tc>
          <w:tcPr>
            <w:tcW w:w="9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c>
          <w:tcPr>
            <w:tcW w:w="1314" w:type="dxa"/>
            <w:vMerge w:val="restart"/>
            <w:tcBorders>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color w:val="auto"/>
                <w:highlight w:val="none"/>
                <w:lang w:val="en-US"/>
              </w:rPr>
            </w:pPr>
            <w:r>
              <w:rPr>
                <w:rFonts w:hint="eastAsia" w:ascii="仿宋" w:hAnsi="仿宋" w:eastAsia="仿宋" w:cs="仿宋"/>
                <w:i w:val="0"/>
                <w:iCs w:val="0"/>
                <w:color w:val="auto"/>
                <w:kern w:val="0"/>
                <w:sz w:val="22"/>
                <w:szCs w:val="22"/>
                <w:highlight w:val="none"/>
                <w:u w:val="none"/>
                <w:lang w:val="en-US" w:eastAsia="zh-CN" w:bidi="ar"/>
              </w:rPr>
              <w:t>由</w:t>
            </w:r>
            <w:r>
              <w:rPr>
                <w:rFonts w:hint="eastAsia" w:ascii="仿宋" w:hAnsi="仿宋" w:eastAsia="仿宋" w:cs="仿宋"/>
                <w:b/>
                <w:bCs/>
                <w:i w:val="0"/>
                <w:iCs w:val="0"/>
                <w:color w:val="auto"/>
                <w:kern w:val="0"/>
                <w:sz w:val="22"/>
                <w:szCs w:val="22"/>
                <w:highlight w:val="none"/>
                <w:u w:val="none"/>
                <w:lang w:val="en-US" w:eastAsia="zh-CN" w:bidi="ar"/>
              </w:rPr>
              <w:t>董事会</w:t>
            </w:r>
            <w:r>
              <w:rPr>
                <w:rFonts w:hint="eastAsia" w:ascii="仿宋" w:hAnsi="仿宋" w:eastAsia="仿宋" w:cs="仿宋"/>
                <w:i w:val="0"/>
                <w:iCs w:val="0"/>
                <w:color w:val="auto"/>
                <w:kern w:val="0"/>
                <w:sz w:val="22"/>
                <w:szCs w:val="22"/>
                <w:highlight w:val="none"/>
                <w:u w:val="none"/>
                <w:lang w:val="en-US" w:eastAsia="zh-CN" w:bidi="ar"/>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3" w:hRule="atLeast"/>
          <w:jc w:val="center"/>
        </w:trPr>
        <w:tc>
          <w:tcPr>
            <w:tcW w:w="86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c>
          <w:tcPr>
            <w:tcW w:w="8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2</w:t>
            </w:r>
          </w:p>
        </w:tc>
        <w:tc>
          <w:tcPr>
            <w:tcW w:w="9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净利润</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single"/>
                <w:lang w:val="en-US" w:eastAsia="zh-CN" w:bidi="ar"/>
              </w:rPr>
              <w:t xml:space="preserve">    </w:t>
            </w:r>
            <w:r>
              <w:rPr>
                <w:rFonts w:hint="eastAsia" w:ascii="仿宋" w:hAnsi="仿宋" w:eastAsia="仿宋" w:cs="仿宋"/>
                <w:i w:val="0"/>
                <w:iCs w:val="0"/>
                <w:color w:val="auto"/>
                <w:kern w:val="0"/>
                <w:sz w:val="22"/>
                <w:szCs w:val="22"/>
                <w:highlight w:val="none"/>
                <w:u w:val="none"/>
                <w:lang w:val="en-US" w:eastAsia="zh-CN" w:bidi="ar"/>
              </w:rPr>
              <w:t>%</w:t>
            </w:r>
          </w:p>
        </w:tc>
        <w:tc>
          <w:tcPr>
            <w:tcW w:w="189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目标值_____万元</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基本分*分；</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1.完成目标值得*分，每超过目标值1%在基本分的基础上加1分，</w:t>
            </w:r>
            <w:r>
              <w:rPr>
                <w:rFonts w:ascii="仿宋" w:hAnsi="仿宋" w:eastAsia="仿宋" w:cs="仿宋"/>
                <w:color w:val="000000"/>
                <w:kern w:val="0"/>
                <w:sz w:val="22"/>
                <w:szCs w:val="22"/>
                <w:lang w:val="en-US" w:eastAsia="zh-CN" w:bidi="ar"/>
              </w:rPr>
              <w:t>本项加分上限为基本分的20%分</w:t>
            </w:r>
            <w:r>
              <w:rPr>
                <w:rFonts w:hint="eastAsia" w:ascii="仿宋" w:hAnsi="仿宋" w:eastAsia="仿宋" w:cs="仿宋"/>
                <w:i w:val="0"/>
                <w:iCs w:val="0"/>
                <w:color w:val="auto"/>
                <w:kern w:val="0"/>
                <w:sz w:val="22"/>
                <w:szCs w:val="22"/>
                <w:highlight w:val="none"/>
                <w:u w:val="none"/>
                <w:lang w:val="en-US" w:eastAsia="zh-CN" w:bidi="ar"/>
              </w:rPr>
              <w:t>；</w:t>
            </w:r>
            <w:r>
              <w:rPr>
                <w:rFonts w:hint="eastAsia" w:ascii="仿宋" w:hAnsi="仿宋" w:eastAsia="仿宋" w:cs="仿宋"/>
                <w:i w:val="0"/>
                <w:iCs w:val="0"/>
                <w:color w:val="auto"/>
                <w:kern w:val="0"/>
                <w:sz w:val="22"/>
                <w:szCs w:val="22"/>
                <w:highlight w:val="none"/>
                <w:u w:val="none"/>
                <w:lang w:val="en-US" w:eastAsia="zh-CN" w:bidi="ar"/>
              </w:rPr>
              <w:br w:type="textWrapping"/>
            </w:r>
            <w:r>
              <w:rPr>
                <w:rFonts w:hint="eastAsia" w:ascii="仿宋" w:hAnsi="仿宋" w:eastAsia="仿宋" w:cs="仿宋"/>
                <w:i w:val="0"/>
                <w:iCs w:val="0"/>
                <w:color w:val="auto"/>
                <w:kern w:val="0"/>
                <w:sz w:val="22"/>
                <w:szCs w:val="22"/>
                <w:highlight w:val="none"/>
                <w:u w:val="none"/>
                <w:lang w:val="en-US" w:eastAsia="zh-CN" w:bidi="ar"/>
              </w:rPr>
              <w:t>2.未完成目标值，按照实际完成率核算得分。</w:t>
            </w:r>
          </w:p>
        </w:tc>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c>
          <w:tcPr>
            <w:tcW w:w="9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c>
          <w:tcPr>
            <w:tcW w:w="1314"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jc w:val="center"/>
        </w:trPr>
        <w:tc>
          <w:tcPr>
            <w:tcW w:w="862"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c>
          <w:tcPr>
            <w:tcW w:w="80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3</w:t>
            </w:r>
          </w:p>
        </w:tc>
        <w:tc>
          <w:tcPr>
            <w:tcW w:w="9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single"/>
                <w:lang w:val="en-US" w:eastAsia="zh-CN" w:bidi="ar"/>
              </w:rPr>
              <w:t xml:space="preserve">    </w:t>
            </w:r>
            <w:r>
              <w:rPr>
                <w:rFonts w:hint="eastAsia" w:ascii="仿宋" w:hAnsi="仿宋" w:eastAsia="仿宋" w:cs="仿宋"/>
                <w:i w:val="0"/>
                <w:iCs w:val="0"/>
                <w:color w:val="auto"/>
                <w:kern w:val="0"/>
                <w:sz w:val="22"/>
                <w:szCs w:val="22"/>
                <w:highlight w:val="none"/>
                <w:u w:val="none"/>
                <w:lang w:val="en-US" w:eastAsia="zh-CN" w:bidi="ar"/>
              </w:rPr>
              <w:t>%</w:t>
            </w:r>
          </w:p>
        </w:tc>
        <w:tc>
          <w:tcPr>
            <w:tcW w:w="189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目标值_____</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w:t>
            </w:r>
          </w:p>
        </w:tc>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c>
          <w:tcPr>
            <w:tcW w:w="9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c>
          <w:tcPr>
            <w:tcW w:w="1314"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1325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highlight w:val="none"/>
                <w:u w:val="none"/>
                <w:lang w:val="en-US"/>
              </w:rPr>
            </w:pPr>
            <w:r>
              <w:rPr>
                <w:rFonts w:hint="eastAsia" w:ascii="仿宋" w:hAnsi="仿宋" w:eastAsia="仿宋" w:cs="仿宋"/>
                <w:b/>
                <w:bCs/>
                <w:i w:val="0"/>
                <w:iCs w:val="0"/>
                <w:color w:val="auto"/>
                <w:kern w:val="0"/>
                <w:sz w:val="24"/>
                <w:szCs w:val="24"/>
                <w:highlight w:val="none"/>
                <w:u w:val="none"/>
                <w:lang w:val="en-US" w:eastAsia="zh-CN" w:bidi="ar"/>
              </w:rPr>
              <w:t>经营业绩考核得分</w:t>
            </w:r>
          </w:p>
        </w:tc>
        <w:tc>
          <w:tcPr>
            <w:tcW w:w="909"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1325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备注：考核结果标准参见本责任书第三条关于考核结果标准的规定。具体指标、目标值、计分规则可根据当年实际情况制定。</w:t>
            </w:r>
          </w:p>
        </w:tc>
        <w:tc>
          <w:tcPr>
            <w:tcW w:w="909" w:type="dxa"/>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bl>
    <w:p>
      <w:pPr>
        <w:wordWrap w:val="0"/>
        <w:spacing w:line="560" w:lineRule="exact"/>
        <w:jc w:val="left"/>
        <w:rPr>
          <w:rFonts w:hint="eastAsia"/>
          <w:color w:val="auto"/>
          <w:highlight w:val="none"/>
        </w:rPr>
      </w:pPr>
      <w:r>
        <w:rPr>
          <w:rFonts w:hint="eastAsia" w:ascii="黑体" w:hAnsi="黑体" w:eastAsia="黑体" w:cs="黑体"/>
          <w:b w:val="0"/>
          <w:bCs w:val="0"/>
          <w:color w:val="auto"/>
          <w:sz w:val="32"/>
          <w:szCs w:val="32"/>
          <w:highlight w:val="none"/>
          <w:lang w:val="en-US" w:eastAsia="zh-CN"/>
        </w:rPr>
        <w:t>附件2</w:t>
      </w:r>
    </w:p>
    <w:tbl>
      <w:tblPr>
        <w:tblStyle w:val="8"/>
        <w:tblpPr w:leftFromText="180" w:rightFromText="180" w:vertAnchor="text" w:horzAnchor="page" w:tblpXSpec="center" w:tblpY="291"/>
        <w:tblOverlap w:val="never"/>
        <w:tblW w:w="15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3"/>
        <w:gridCol w:w="684"/>
        <w:gridCol w:w="1197"/>
        <w:gridCol w:w="1212"/>
        <w:gridCol w:w="3422"/>
        <w:gridCol w:w="4467"/>
        <w:gridCol w:w="1240"/>
        <w:gridCol w:w="1112"/>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566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襄阳云谷投资管理有限公司职业经理人______年度综合考核评价指标表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1865" w:type="dxa"/>
            <w:gridSpan w:val="6"/>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被考核人：</w:t>
            </w:r>
          </w:p>
        </w:tc>
        <w:tc>
          <w:tcPr>
            <w:tcW w:w="3795"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岗位：副总经理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8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4"/>
                <w:szCs w:val="24"/>
                <w:highlight w:val="none"/>
                <w:u w:val="none"/>
              </w:rPr>
            </w:pPr>
          </w:p>
        </w:tc>
        <w:tc>
          <w:tcPr>
            <w:tcW w:w="6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4"/>
                <w:szCs w:val="24"/>
                <w:highlight w:val="none"/>
                <w:u w:val="none"/>
                <w:lang w:val="en-US" w:eastAsia="zh-CN"/>
              </w:rPr>
            </w:pPr>
            <w:r>
              <w:rPr>
                <w:rFonts w:hint="eastAsia" w:ascii="仿宋_GB2312" w:hAnsi="宋体" w:eastAsia="仿宋_GB2312" w:cs="仿宋_GB2312"/>
                <w:b/>
                <w:bCs/>
                <w:i w:val="0"/>
                <w:iCs w:val="0"/>
                <w:color w:val="auto"/>
                <w:sz w:val="24"/>
                <w:szCs w:val="24"/>
                <w:highlight w:val="none"/>
                <w:u w:val="none"/>
                <w:lang w:val="en-US" w:eastAsia="zh-CN"/>
              </w:rPr>
              <w:t>序号</w:t>
            </w:r>
          </w:p>
        </w:tc>
        <w:tc>
          <w:tcPr>
            <w:tcW w:w="119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4"/>
                <w:szCs w:val="24"/>
                <w:highlight w:val="none"/>
                <w:u w:val="none"/>
                <w:lang w:val="en-US" w:eastAsia="zh-CN" w:bidi="ar-SA"/>
              </w:rPr>
            </w:pPr>
            <w:r>
              <w:rPr>
                <w:rFonts w:hint="default" w:ascii="仿宋_GB2312" w:hAnsi="宋体" w:eastAsia="仿宋_GB2312" w:cs="仿宋_GB2312"/>
                <w:b/>
                <w:bCs/>
                <w:i w:val="0"/>
                <w:iCs w:val="0"/>
                <w:color w:val="auto"/>
                <w:kern w:val="0"/>
                <w:sz w:val="24"/>
                <w:szCs w:val="24"/>
                <w:highlight w:val="none"/>
                <w:u w:val="none"/>
                <w:lang w:val="en-US" w:eastAsia="zh-CN" w:bidi="ar"/>
              </w:rPr>
              <w:t>具体指标</w:t>
            </w:r>
          </w:p>
        </w:tc>
        <w:tc>
          <w:tcPr>
            <w:tcW w:w="12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4"/>
                <w:szCs w:val="24"/>
                <w:highlight w:val="none"/>
                <w:u w:val="none"/>
                <w:lang w:val="en-US" w:eastAsia="zh-CN" w:bidi="ar-SA"/>
              </w:rPr>
            </w:pPr>
            <w:r>
              <w:rPr>
                <w:rFonts w:hint="default" w:ascii="仿宋_GB2312" w:hAnsi="宋体" w:eastAsia="仿宋_GB2312" w:cs="仿宋_GB2312"/>
                <w:b/>
                <w:bCs/>
                <w:i w:val="0"/>
                <w:iCs w:val="0"/>
                <w:color w:val="auto"/>
                <w:kern w:val="0"/>
                <w:sz w:val="24"/>
                <w:szCs w:val="24"/>
                <w:highlight w:val="none"/>
                <w:u w:val="none"/>
                <w:lang w:val="en-US" w:eastAsia="zh-CN" w:bidi="ar"/>
              </w:rPr>
              <w:t>考核权重</w:t>
            </w:r>
          </w:p>
        </w:tc>
        <w:tc>
          <w:tcPr>
            <w:tcW w:w="34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目标值</w:t>
            </w:r>
          </w:p>
        </w:tc>
        <w:tc>
          <w:tcPr>
            <w:tcW w:w="4467"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计分规则</w:t>
            </w:r>
          </w:p>
        </w:tc>
        <w:tc>
          <w:tcPr>
            <w:tcW w:w="12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数据来源</w:t>
            </w:r>
          </w:p>
        </w:tc>
        <w:tc>
          <w:tcPr>
            <w:tcW w:w="1112"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评分</w:t>
            </w:r>
          </w:p>
        </w:tc>
        <w:tc>
          <w:tcPr>
            <w:tcW w:w="14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8" w:hRule="atLeast"/>
          <w:jc w:val="center"/>
        </w:trPr>
        <w:tc>
          <w:tcPr>
            <w:tcW w:w="883"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kern w:val="0"/>
                <w:sz w:val="24"/>
                <w:szCs w:val="24"/>
                <w:highlight w:val="none"/>
                <w:u w:val="none"/>
                <w:lang w:val="en-US" w:eastAsia="zh-CN" w:bidi="ar"/>
              </w:rPr>
            </w:pPr>
          </w:p>
          <w:p>
            <w:pPr>
              <w:jc w:val="center"/>
              <w:rPr>
                <w:rFonts w:hint="eastAsia" w:ascii="仿宋" w:hAnsi="仿宋" w:eastAsia="仿宋" w:cs="仿宋"/>
                <w:i w:val="0"/>
                <w:iCs w:val="0"/>
                <w:color w:val="auto"/>
                <w:kern w:val="0"/>
                <w:sz w:val="24"/>
                <w:szCs w:val="24"/>
                <w:highlight w:val="none"/>
                <w:u w:val="none"/>
                <w:lang w:val="en-US" w:eastAsia="zh-CN" w:bidi="ar"/>
              </w:rPr>
            </w:pPr>
          </w:p>
          <w:p>
            <w:pPr>
              <w:jc w:val="center"/>
              <w:rPr>
                <w:rFonts w:hint="eastAsia" w:ascii="仿宋" w:hAnsi="仿宋" w:eastAsia="仿宋" w:cs="仿宋"/>
                <w:i w:val="0"/>
                <w:iCs w:val="0"/>
                <w:color w:val="auto"/>
                <w:kern w:val="0"/>
                <w:sz w:val="24"/>
                <w:szCs w:val="24"/>
                <w:highlight w:val="none"/>
                <w:u w:val="none"/>
                <w:lang w:val="en-US" w:eastAsia="zh-CN" w:bidi="ar"/>
              </w:rPr>
            </w:pPr>
          </w:p>
          <w:p>
            <w:pPr>
              <w:jc w:val="center"/>
              <w:rPr>
                <w:rFonts w:hint="eastAsia" w:ascii="仿宋" w:hAnsi="仿宋" w:eastAsia="仿宋" w:cs="仿宋"/>
                <w:i w:val="0"/>
                <w:iCs w:val="0"/>
                <w:color w:val="auto"/>
                <w:kern w:val="0"/>
                <w:sz w:val="24"/>
                <w:szCs w:val="24"/>
                <w:highlight w:val="none"/>
                <w:u w:val="none"/>
                <w:lang w:val="en-US" w:eastAsia="zh-CN" w:bidi="ar"/>
              </w:rPr>
            </w:pPr>
          </w:p>
          <w:p>
            <w:pPr>
              <w:jc w:val="center"/>
              <w:rPr>
                <w:rFonts w:hint="eastAsia" w:ascii="仿宋" w:hAnsi="仿宋" w:eastAsia="仿宋" w:cs="仿宋"/>
                <w:i w:val="0"/>
                <w:iCs w:val="0"/>
                <w:color w:val="auto"/>
                <w:kern w:val="0"/>
                <w:sz w:val="24"/>
                <w:szCs w:val="24"/>
                <w:highlight w:val="none"/>
                <w:u w:val="none"/>
                <w:lang w:val="en-US" w:eastAsia="zh-CN" w:bidi="ar"/>
              </w:rPr>
            </w:pPr>
          </w:p>
          <w:p>
            <w:pPr>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4"/>
                <w:szCs w:val="24"/>
                <w:highlight w:val="none"/>
                <w:u w:val="none"/>
                <w:lang w:val="en-US" w:eastAsia="zh-CN" w:bidi="ar"/>
              </w:rPr>
              <w:t>综合考核评价</w:t>
            </w:r>
          </w:p>
        </w:tc>
        <w:tc>
          <w:tcPr>
            <w:tcW w:w="6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w:t>
            </w:r>
          </w:p>
        </w:tc>
        <w:tc>
          <w:tcPr>
            <w:tcW w:w="119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sz w:val="22"/>
                <w:szCs w:val="22"/>
                <w:highlight w:val="none"/>
                <w:u w:val="none"/>
                <w:lang w:val="en-US" w:eastAsia="zh-CN"/>
              </w:rPr>
              <w:t>政治表现</w:t>
            </w:r>
          </w:p>
        </w:tc>
        <w:tc>
          <w:tcPr>
            <w:tcW w:w="12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10%</w:t>
            </w:r>
          </w:p>
        </w:tc>
        <w:tc>
          <w:tcPr>
            <w:tcW w:w="342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left"/>
              <w:textAlignment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1.具有较高的政治素质，坚决执行党和国家的方针政策，坚持国有企业的社会主义方向。</w:t>
            </w:r>
          </w:p>
          <w:p>
            <w:pPr>
              <w:pStyle w:val="2"/>
              <w:spacing w:line="240" w:lineRule="auto"/>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2.具有良好的职业操守和个人品行，遵纪守法、诚信经营、廉洁从业，能够忠实执行企业战略规划和董事会决议，自觉维护企业及股东利益。</w:t>
            </w:r>
          </w:p>
          <w:p>
            <w:pPr>
              <w:pStyle w:val="2"/>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i w:val="0"/>
                <w:iCs w:val="0"/>
                <w:color w:val="auto"/>
                <w:sz w:val="22"/>
                <w:szCs w:val="22"/>
                <w:highlight w:val="none"/>
                <w:u w:val="none"/>
                <w:lang w:val="en-US" w:eastAsia="zh-CN"/>
              </w:rPr>
              <w:t>3.具有正确的业绩观，能够正确处理当期效益与长远发展的关系，推动企业全面履行经济、政治和社会责任。</w:t>
            </w:r>
          </w:p>
        </w:tc>
        <w:tc>
          <w:tcPr>
            <w:tcW w:w="4467"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基本分10分；</w:t>
            </w:r>
            <w:r>
              <w:rPr>
                <w:rFonts w:hint="eastAsia" w:ascii="仿宋" w:hAnsi="仿宋" w:eastAsia="仿宋" w:cs="仿宋"/>
                <w:color w:val="auto"/>
                <w:sz w:val="22"/>
                <w:szCs w:val="22"/>
                <w:highlight w:val="none"/>
                <w:lang w:val="en-US" w:eastAsia="zh-CN"/>
              </w:rPr>
              <w:br w:type="textWrapping"/>
            </w:r>
            <w:r>
              <w:rPr>
                <w:rFonts w:hint="eastAsia" w:ascii="仿宋" w:hAnsi="仿宋" w:eastAsia="仿宋" w:cs="仿宋"/>
                <w:color w:val="auto"/>
                <w:sz w:val="22"/>
                <w:szCs w:val="22"/>
                <w:highlight w:val="none"/>
                <w:lang w:val="en-US" w:eastAsia="zh-CN"/>
              </w:rPr>
              <w:t>1.能够正确贯彻执行党和国家的路线、方针、政策，规范遵守国家的法律、法规和各项规章制度，廉洁奉公，完全履行聘用合同者，得10分；</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w:t>
            </w:r>
            <w:r>
              <w:rPr>
                <w:rFonts w:hint="eastAsia" w:ascii="仿宋" w:hAnsi="仿宋" w:eastAsia="仿宋" w:cs="仿宋"/>
                <w:color w:val="auto"/>
                <w:sz w:val="22"/>
                <w:szCs w:val="22"/>
                <w:highlight w:val="none"/>
              </w:rPr>
              <w:t>考核期内政治素质一般，工作</w:t>
            </w:r>
            <w:r>
              <w:rPr>
                <w:rFonts w:hint="eastAsia" w:ascii="仿宋" w:hAnsi="仿宋" w:eastAsia="仿宋" w:cs="仿宋"/>
                <w:color w:val="auto"/>
                <w:sz w:val="22"/>
                <w:szCs w:val="22"/>
                <w:highlight w:val="none"/>
                <w:lang w:val="en-US" w:eastAsia="zh-CN"/>
              </w:rPr>
              <w:t>完成质量一般</w:t>
            </w:r>
            <w:r>
              <w:rPr>
                <w:rFonts w:hint="eastAsia" w:ascii="仿宋" w:hAnsi="仿宋" w:eastAsia="仿宋" w:cs="仿宋"/>
                <w:color w:val="auto"/>
                <w:sz w:val="22"/>
                <w:szCs w:val="22"/>
                <w:highlight w:val="none"/>
              </w:rPr>
              <w:t>，未</w:t>
            </w:r>
            <w:r>
              <w:rPr>
                <w:rFonts w:hint="eastAsia" w:ascii="仿宋" w:hAnsi="仿宋" w:eastAsia="仿宋" w:cs="仿宋"/>
                <w:color w:val="auto"/>
                <w:sz w:val="22"/>
                <w:szCs w:val="22"/>
                <w:highlight w:val="none"/>
                <w:lang w:val="en-US" w:eastAsia="zh-CN"/>
              </w:rPr>
              <w:t>能</w:t>
            </w:r>
            <w:r>
              <w:rPr>
                <w:rFonts w:hint="eastAsia" w:ascii="仿宋" w:hAnsi="仿宋" w:eastAsia="仿宋" w:cs="仿宋"/>
                <w:color w:val="auto"/>
                <w:sz w:val="22"/>
                <w:szCs w:val="22"/>
                <w:highlight w:val="none"/>
              </w:rPr>
              <w:t>完全履行聘用合同</w:t>
            </w:r>
            <w:r>
              <w:rPr>
                <w:rFonts w:hint="eastAsia" w:ascii="仿宋" w:hAnsi="仿宋" w:eastAsia="仿宋" w:cs="仿宋"/>
                <w:color w:val="auto"/>
                <w:sz w:val="22"/>
                <w:szCs w:val="22"/>
                <w:highlight w:val="none"/>
                <w:lang w:val="en-US" w:eastAsia="zh-CN"/>
              </w:rPr>
              <w:t>要求</w:t>
            </w:r>
            <w:r>
              <w:rPr>
                <w:rFonts w:hint="eastAsia" w:ascii="仿宋" w:hAnsi="仿宋" w:eastAsia="仿宋" w:cs="仿宋"/>
                <w:color w:val="auto"/>
                <w:sz w:val="22"/>
                <w:szCs w:val="22"/>
                <w:highlight w:val="none"/>
              </w:rPr>
              <w:t>，在工作中</w:t>
            </w:r>
            <w:r>
              <w:rPr>
                <w:rFonts w:hint="eastAsia" w:ascii="仿宋" w:hAnsi="仿宋" w:eastAsia="仿宋" w:cs="仿宋"/>
                <w:color w:val="auto"/>
                <w:sz w:val="22"/>
                <w:szCs w:val="22"/>
                <w:highlight w:val="none"/>
                <w:lang w:val="en-US" w:eastAsia="zh-CN"/>
              </w:rPr>
              <w:t>存在</w:t>
            </w:r>
            <w:r>
              <w:rPr>
                <w:rFonts w:hint="eastAsia" w:ascii="仿宋" w:hAnsi="仿宋" w:eastAsia="仿宋" w:cs="仿宋"/>
                <w:color w:val="auto"/>
                <w:sz w:val="22"/>
                <w:szCs w:val="22"/>
                <w:highlight w:val="none"/>
              </w:rPr>
              <w:t>一定失误，酌情扣分</w:t>
            </w:r>
            <w:r>
              <w:rPr>
                <w:rFonts w:hint="eastAsia" w:ascii="仿宋" w:hAnsi="仿宋" w:eastAsia="仿宋" w:cs="仿宋"/>
                <w:i w:val="0"/>
                <w:iCs w:val="0"/>
                <w:color w:val="auto"/>
                <w:kern w:val="0"/>
                <w:sz w:val="22"/>
                <w:szCs w:val="22"/>
                <w:highlight w:val="none"/>
                <w:u w:val="none"/>
                <w:lang w:val="en-US" w:eastAsia="zh-CN" w:bidi="ar"/>
              </w:rPr>
              <w:t>。</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党群部</w:t>
            </w:r>
          </w:p>
        </w:tc>
        <w:tc>
          <w:tcPr>
            <w:tcW w:w="1112" w:type="dxa"/>
            <w:tcBorders>
              <w:top w:val="single" w:color="auto" w:sz="4" w:space="0"/>
              <w:left w:val="single" w:color="auto" w:sz="4" w:space="0"/>
              <w:bottom w:val="single" w:color="000000" w:sz="4" w:space="0"/>
              <w:right w:val="nil"/>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43"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4"/>
                <w:szCs w:val="24"/>
                <w:highlight w:val="none"/>
                <w:lang w:val="en-US" w:eastAsia="zh-CN"/>
              </w:rPr>
            </w:pPr>
          </w:p>
          <w:p>
            <w:pPr>
              <w:jc w:val="center"/>
              <w:rPr>
                <w:rFonts w:hint="eastAsia" w:ascii="仿宋" w:hAnsi="仿宋" w:eastAsia="仿宋" w:cs="仿宋"/>
                <w:color w:val="auto"/>
                <w:sz w:val="24"/>
                <w:szCs w:val="24"/>
                <w:highlight w:val="none"/>
                <w:lang w:val="en-US" w:eastAsia="zh-CN"/>
              </w:rPr>
            </w:pPr>
          </w:p>
          <w:p>
            <w:pPr>
              <w:jc w:val="center"/>
              <w:rPr>
                <w:rFonts w:hint="eastAsia" w:ascii="仿宋" w:hAnsi="仿宋" w:eastAsia="仿宋" w:cs="仿宋"/>
                <w:color w:val="auto"/>
                <w:sz w:val="24"/>
                <w:szCs w:val="24"/>
                <w:highlight w:val="none"/>
                <w:lang w:val="en-US" w:eastAsia="zh-CN"/>
              </w:rPr>
            </w:pPr>
          </w:p>
          <w:p>
            <w:pPr>
              <w:jc w:val="center"/>
              <w:rPr>
                <w:rFonts w:hint="eastAsia" w:ascii="仿宋" w:hAnsi="仿宋" w:eastAsia="仿宋" w:cs="仿宋"/>
                <w:color w:val="auto"/>
                <w:sz w:val="24"/>
                <w:szCs w:val="24"/>
                <w:highlight w:val="none"/>
                <w:lang w:val="en-US" w:eastAsia="zh-CN"/>
              </w:rPr>
            </w:pPr>
          </w:p>
          <w:p>
            <w:pPr>
              <w:jc w:val="center"/>
              <w:rPr>
                <w:rFonts w:hint="eastAsia" w:ascii="仿宋" w:hAnsi="仿宋" w:eastAsia="仿宋" w:cs="仿宋"/>
                <w:color w:val="auto"/>
                <w:sz w:val="24"/>
                <w:szCs w:val="24"/>
                <w:highlight w:val="none"/>
                <w:lang w:val="en-US" w:eastAsia="zh-CN"/>
              </w:rPr>
            </w:pPr>
          </w:p>
          <w:p>
            <w:pPr>
              <w:jc w:val="center"/>
              <w:rPr>
                <w:rFonts w:hint="eastAsia" w:ascii="仿宋" w:hAnsi="仿宋" w:eastAsia="仿宋" w:cs="仿宋"/>
                <w:color w:val="auto"/>
                <w:sz w:val="24"/>
                <w:szCs w:val="24"/>
                <w:highlight w:val="none"/>
                <w:lang w:val="en-US" w:eastAsia="zh-CN"/>
              </w:rPr>
            </w:pPr>
          </w:p>
          <w:p>
            <w:pPr>
              <w:jc w:val="center"/>
              <w:rPr>
                <w:rFonts w:hint="eastAsia" w:ascii="仿宋" w:hAnsi="仿宋" w:eastAsia="仿宋" w:cs="仿宋"/>
                <w:color w:val="auto"/>
                <w:sz w:val="22"/>
                <w:szCs w:val="22"/>
                <w:highlight w:val="none"/>
                <w:lang w:val="en-US" w:eastAsia="zh-CN"/>
              </w:rPr>
            </w:pPr>
          </w:p>
          <w:p>
            <w:pPr>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由</w:t>
            </w:r>
            <w:r>
              <w:rPr>
                <w:rFonts w:hint="eastAsia" w:ascii="仿宋" w:hAnsi="仿宋" w:eastAsia="仿宋" w:cs="仿宋"/>
                <w:b/>
                <w:bCs/>
                <w:i w:val="0"/>
                <w:iCs w:val="0"/>
                <w:color w:val="auto"/>
                <w:kern w:val="0"/>
                <w:sz w:val="22"/>
                <w:szCs w:val="22"/>
                <w:highlight w:val="none"/>
                <w:u w:val="none"/>
                <w:lang w:val="en-US" w:eastAsia="zh-CN" w:bidi="ar"/>
              </w:rPr>
              <w:t>汉江控股党委</w:t>
            </w:r>
            <w:r>
              <w:rPr>
                <w:rFonts w:hint="eastAsia" w:ascii="仿宋" w:hAnsi="仿宋" w:eastAsia="仿宋" w:cs="仿宋"/>
                <w:i w:val="0"/>
                <w:iCs w:val="0"/>
                <w:color w:val="auto"/>
                <w:kern w:val="0"/>
                <w:sz w:val="22"/>
                <w:szCs w:val="22"/>
                <w:highlight w:val="none"/>
                <w:u w:val="none"/>
                <w:lang w:val="en-US" w:eastAsia="zh-CN" w:bidi="ar"/>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jc w:val="center"/>
        </w:trPr>
        <w:tc>
          <w:tcPr>
            <w:tcW w:w="88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能力素质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pacing w:line="240" w:lineRule="auto"/>
              <w:ind w:left="0" w:leftChars="0" w:firstLine="0" w:firstLineChars="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1.能够</w:t>
            </w:r>
            <w:r>
              <w:rPr>
                <w:rFonts w:hint="eastAsia" w:ascii="仿宋" w:hAnsi="仿宋" w:eastAsia="仿宋" w:cs="仿宋"/>
                <w:color w:val="auto"/>
                <w:sz w:val="22"/>
                <w:szCs w:val="22"/>
                <w:highlight w:val="none"/>
              </w:rPr>
              <w:t>组织开展</w:t>
            </w:r>
            <w:r>
              <w:rPr>
                <w:rFonts w:hint="eastAsia" w:ascii="仿宋" w:hAnsi="仿宋" w:eastAsia="仿宋" w:cs="仿宋"/>
                <w:color w:val="auto"/>
                <w:sz w:val="22"/>
                <w:szCs w:val="22"/>
                <w:highlight w:val="none"/>
                <w:lang w:val="en-US" w:eastAsia="zh-CN"/>
              </w:rPr>
              <w:t>公司全面管理工作，包含业务开发、风控管理、财务管理、行政人事管理等。</w:t>
            </w:r>
          </w:p>
          <w:p>
            <w:pPr>
              <w:keepNext w:val="0"/>
              <w:keepLines w:val="0"/>
              <w:widowControl/>
              <w:numPr>
                <w:ilvl w:val="0"/>
                <w:numId w:val="0"/>
              </w:numPr>
              <w:suppressLineNumbers w:val="0"/>
              <w:spacing w:line="240" w:lineRule="auto"/>
              <w:jc w:val="left"/>
              <w:textAlignment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en-US" w:eastAsia="zh-CN"/>
              </w:rPr>
              <w:t>能够制定完成</w:t>
            </w:r>
            <w:r>
              <w:rPr>
                <w:rFonts w:hint="eastAsia" w:ascii="仿宋" w:hAnsi="仿宋" w:eastAsia="仿宋" w:cs="仿宋"/>
                <w:color w:val="auto"/>
                <w:sz w:val="22"/>
                <w:szCs w:val="22"/>
                <w:highlight w:val="none"/>
              </w:rPr>
              <w:t>规划与体系建设</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包含组织实施公司中长期发展战略、年度经营计划、公司重大改革方案等</w:t>
            </w:r>
            <w:r>
              <w:rPr>
                <w:rFonts w:hint="eastAsia" w:ascii="仿宋" w:hAnsi="仿宋" w:eastAsia="仿宋" w:cs="仿宋"/>
                <w:color w:val="auto"/>
                <w:sz w:val="22"/>
                <w:szCs w:val="22"/>
                <w:highlight w:val="none"/>
              </w:rPr>
              <w:t>。</w:t>
            </w:r>
          </w:p>
          <w:p>
            <w:pPr>
              <w:pStyle w:val="2"/>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3.能够良好地贯彻落实股东会、董事会交办的工作，包括主持召集经理办公会，研究决定重大经营管理事项；监督落实公司年度经营目标计划和融资方案等。</w:t>
            </w:r>
          </w:p>
        </w:tc>
        <w:tc>
          <w:tcPr>
            <w:tcW w:w="446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基本分10分；</w:t>
            </w:r>
            <w:r>
              <w:rPr>
                <w:rFonts w:hint="eastAsia" w:ascii="仿宋" w:hAnsi="仿宋" w:eastAsia="仿宋" w:cs="仿宋"/>
                <w:color w:val="auto"/>
                <w:sz w:val="22"/>
                <w:szCs w:val="22"/>
                <w:highlight w:val="none"/>
                <w:lang w:val="en-US" w:eastAsia="zh-CN"/>
              </w:rPr>
              <w:br w:type="textWrapping"/>
            </w:r>
            <w:r>
              <w:rPr>
                <w:rFonts w:hint="eastAsia" w:ascii="仿宋" w:hAnsi="仿宋" w:eastAsia="仿宋" w:cs="仿宋"/>
                <w:color w:val="auto"/>
                <w:sz w:val="22"/>
                <w:szCs w:val="22"/>
                <w:highlight w:val="none"/>
                <w:lang w:val="en-US" w:eastAsia="zh-CN"/>
              </w:rPr>
              <w:t>1.</w:t>
            </w:r>
            <w:r>
              <w:rPr>
                <w:rFonts w:hint="eastAsia" w:ascii="仿宋" w:hAnsi="仿宋" w:eastAsia="仿宋" w:cs="仿宋"/>
                <w:i w:val="0"/>
                <w:iCs w:val="0"/>
                <w:color w:val="auto"/>
                <w:kern w:val="0"/>
                <w:sz w:val="22"/>
                <w:szCs w:val="22"/>
                <w:highlight w:val="none"/>
                <w:u w:val="none"/>
                <w:lang w:val="en-US" w:eastAsia="zh-CN" w:bidi="ar"/>
              </w:rPr>
              <w:t>有效促进各部门发展，较好地落实公司日常经营管理，实现公司经营管理制度化、规范化、标准化、流程化，确保国有资产的保值增值</w:t>
            </w:r>
            <w:r>
              <w:rPr>
                <w:rFonts w:hint="eastAsia" w:ascii="仿宋" w:hAnsi="仿宋" w:eastAsia="仿宋" w:cs="仿宋"/>
                <w:color w:val="auto"/>
                <w:sz w:val="22"/>
                <w:szCs w:val="22"/>
                <w:highlight w:val="none"/>
                <w:lang w:val="en-US" w:eastAsia="zh-CN"/>
              </w:rPr>
              <w:t>，得10分；</w:t>
            </w:r>
          </w:p>
          <w:p>
            <w:pPr>
              <w:pStyle w:val="2"/>
              <w:numPr>
                <w:ilvl w:val="0"/>
                <w:numId w:val="0"/>
              </w:numPr>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rPr>
              <w:t>考核期内出现</w:t>
            </w:r>
            <w:r>
              <w:rPr>
                <w:rFonts w:hint="eastAsia" w:ascii="仿宋" w:hAnsi="仿宋" w:eastAsia="仿宋" w:cs="仿宋"/>
                <w:color w:val="auto"/>
                <w:sz w:val="22"/>
                <w:szCs w:val="22"/>
                <w:highlight w:val="none"/>
                <w:lang w:val="en-US" w:eastAsia="zh-CN"/>
              </w:rPr>
              <w:t>中长期战略规划、体系建设和年度经营计划不合理，无法促进长效可持续发展的，扣0.5—1分；</w:t>
            </w:r>
          </w:p>
          <w:p>
            <w:pPr>
              <w:pStyle w:val="2"/>
              <w:numPr>
                <w:ilvl w:val="0"/>
                <w:numId w:val="0"/>
              </w:numPr>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3.业务流程屡次遭到其他部门质疑需要改进而未改进，扣2分；</w:t>
            </w:r>
          </w:p>
          <w:p>
            <w:pPr>
              <w:pStyle w:val="2"/>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4.因未落实好股东会、董事会交办工作且未及时完善而给公司造成损失</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lang w:val="en-US" w:eastAsia="zh-CN"/>
              </w:rPr>
              <w:t>视情节严重酌情</w:t>
            </w:r>
            <w:r>
              <w:rPr>
                <w:rFonts w:hint="eastAsia" w:ascii="仿宋" w:hAnsi="仿宋" w:eastAsia="仿宋" w:cs="仿宋"/>
                <w:color w:val="auto"/>
                <w:sz w:val="22"/>
                <w:szCs w:val="22"/>
                <w:highlight w:val="none"/>
              </w:rPr>
              <w:t>扣</w:t>
            </w:r>
            <w:r>
              <w:rPr>
                <w:rFonts w:hint="eastAsia" w:ascii="仿宋" w:hAnsi="仿宋" w:eastAsia="仿宋" w:cs="仿宋"/>
                <w:color w:val="auto"/>
                <w:sz w:val="22"/>
                <w:szCs w:val="22"/>
                <w:highlight w:val="none"/>
                <w:lang w:val="en-US" w:eastAsia="zh-CN"/>
              </w:rPr>
              <w:t>3—5</w:t>
            </w:r>
            <w:r>
              <w:rPr>
                <w:rFonts w:hint="eastAsia" w:ascii="仿宋" w:hAnsi="仿宋" w:eastAsia="仿宋" w:cs="仿宋"/>
                <w:color w:val="auto"/>
                <w:sz w:val="22"/>
                <w:szCs w:val="22"/>
                <w:highlight w:val="none"/>
              </w:rPr>
              <w:t>分</w:t>
            </w:r>
            <w:r>
              <w:rPr>
                <w:rFonts w:hint="eastAsia" w:ascii="仿宋" w:hAnsi="仿宋" w:eastAsia="仿宋" w:cs="仿宋"/>
                <w:i w:val="0"/>
                <w:iCs w:val="0"/>
                <w:color w:val="auto"/>
                <w:kern w:val="0"/>
                <w:sz w:val="22"/>
                <w:szCs w:val="22"/>
                <w:highlight w:val="none"/>
                <w:u w:val="none"/>
                <w:lang w:val="en-US" w:eastAsia="zh-CN" w:bidi="ar"/>
              </w:rPr>
              <w:t>。</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业务部</w:t>
            </w:r>
          </w:p>
        </w:tc>
        <w:tc>
          <w:tcPr>
            <w:tcW w:w="1112" w:type="dxa"/>
            <w:tcBorders>
              <w:top w:val="single" w:color="000000" w:sz="4" w:space="0"/>
              <w:left w:val="single" w:color="auto" w:sz="4" w:space="0"/>
              <w:bottom w:val="single" w:color="000000" w:sz="4" w:space="0"/>
              <w:right w:val="nil"/>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4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88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3</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工作实绩</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60%</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line="240" w:lineRule="auto"/>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color w:val="auto"/>
                <w:sz w:val="22"/>
                <w:szCs w:val="22"/>
                <w:highlight w:val="none"/>
                <w:lang w:val="en-US" w:eastAsia="zh-CN"/>
              </w:rPr>
              <w:t>完成经营业绩考核指标。</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line="24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详见附件1中关于经营业绩考核部分的规定；</w:t>
            </w:r>
          </w:p>
          <w:p>
            <w:pPr>
              <w:pStyle w:val="2"/>
              <w:spacing w:line="240" w:lineRule="auto"/>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评分为经营业绩考核得分*60%。</w:t>
            </w:r>
          </w:p>
        </w:tc>
        <w:tc>
          <w:tcPr>
            <w:tcW w:w="12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综合部</w:t>
            </w:r>
          </w:p>
        </w:tc>
        <w:tc>
          <w:tcPr>
            <w:tcW w:w="11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4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5" w:hRule="atLeast"/>
          <w:jc w:val="center"/>
        </w:trPr>
        <w:tc>
          <w:tcPr>
            <w:tcW w:w="88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olor w:val="auto"/>
                <w:sz w:val="22"/>
                <w:szCs w:val="21"/>
                <w:highlight w:val="none"/>
                <w:lang w:val="en-US" w:eastAsia="zh-CN"/>
              </w:rPr>
              <w:t>廉洁从业和履行“一岗双责”等情况</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15%</w:t>
            </w:r>
          </w:p>
        </w:tc>
        <w:tc>
          <w:tcPr>
            <w:tcW w:w="34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left"/>
              <w:textAlignment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1.确保党的路线、方针、政策和上级决策部署在分管领域得到贯彻落实，确保分管业务不发生廉洁风险。</w:t>
            </w:r>
          </w:p>
          <w:p>
            <w:pPr>
              <w:keepNext w:val="0"/>
              <w:keepLines w:val="0"/>
              <w:widowControl/>
              <w:suppressLineNumbers w:val="0"/>
              <w:jc w:val="both"/>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rPr>
              <w:t>负责落实分管领域安全生产工作责任，确保不发生安全生产事故。</w:t>
            </w:r>
          </w:p>
        </w:tc>
        <w:tc>
          <w:tcPr>
            <w:tcW w:w="44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满分15分，公司给予个人诫勉谈话的，每发生一次扣2分，发生组织调整的（下调），每次扣3分，受到党纪政务轻处分（第二种形态）的，每次扣4分，扣完为止。</w:t>
            </w:r>
          </w:p>
        </w:tc>
        <w:tc>
          <w:tcPr>
            <w:tcW w:w="1240"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党群部</w:t>
            </w:r>
          </w:p>
        </w:tc>
        <w:tc>
          <w:tcPr>
            <w:tcW w:w="11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4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88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c>
          <w:tcPr>
            <w:tcW w:w="684"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5</w:t>
            </w:r>
          </w:p>
        </w:tc>
        <w:tc>
          <w:tcPr>
            <w:tcW w:w="1197"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2"/>
                <w:szCs w:val="22"/>
                <w:highlight w:val="none"/>
                <w:u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民主测评</w:t>
            </w:r>
          </w:p>
        </w:tc>
        <w:tc>
          <w:tcPr>
            <w:tcW w:w="1212"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5%</w:t>
            </w:r>
          </w:p>
        </w:tc>
        <w:tc>
          <w:tcPr>
            <w:tcW w:w="3422" w:type="dxa"/>
            <w:tcBorders>
              <w:top w:val="single" w:color="000000" w:sz="4" w:space="0"/>
              <w:left w:val="single" w:color="auto" w:sz="4" w:space="0"/>
              <w:bottom w:val="single" w:color="auto" w:sz="4" w:space="0"/>
              <w:right w:val="single" w:color="auto" w:sz="4" w:space="0"/>
            </w:tcBorders>
            <w:shd w:val="clear" w:color="auto" w:fill="auto"/>
            <w:vAlign w:val="center"/>
          </w:tcPr>
          <w:p>
            <w:pPr>
              <w:pStyle w:val="2"/>
              <w:numPr>
                <w:ilvl w:val="0"/>
                <w:numId w:val="0"/>
              </w:numPr>
              <w:spacing w:line="240" w:lineRule="auto"/>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w:t>
            </w:r>
          </w:p>
        </w:tc>
        <w:tc>
          <w:tcPr>
            <w:tcW w:w="4467"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从政治素养、工作成效等维度对个人德、能、勤、绩、廉等综合评价打分，得分为民主测评平均分×5%</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default"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w:t>
            </w:r>
          </w:p>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default" w:ascii="仿宋" w:hAnsi="仿宋" w:eastAsia="仿宋" w:cs="仿宋"/>
                <w:i w:val="0"/>
                <w:iCs w:val="0"/>
                <w:color w:val="auto"/>
                <w:sz w:val="22"/>
                <w:szCs w:val="22"/>
                <w:highlight w:val="none"/>
                <w:u w:val="none"/>
                <w:lang w:val="en-US"/>
              </w:rPr>
            </w:pPr>
          </w:p>
        </w:tc>
        <w:tc>
          <w:tcPr>
            <w:tcW w:w="1112" w:type="dxa"/>
            <w:tcBorders>
              <w:top w:val="single" w:color="000000"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auto"/>
                <w:sz w:val="22"/>
                <w:szCs w:val="22"/>
                <w:highlight w:val="none"/>
                <w:u w:val="none"/>
              </w:rPr>
            </w:pPr>
          </w:p>
        </w:tc>
        <w:tc>
          <w:tcPr>
            <w:tcW w:w="1443" w:type="dxa"/>
            <w:vMerge w:val="continue"/>
            <w:tcBorders>
              <w:left w:val="single" w:color="000000" w:sz="4" w:space="0"/>
              <w:right w:val="single" w:color="000000" w:sz="4" w:space="0"/>
            </w:tcBorders>
            <w:shd w:val="clear" w:color="auto" w:fill="auto"/>
            <w:noWrap/>
            <w:vAlign w:val="center"/>
          </w:tcPr>
          <w:p>
            <w:pPr>
              <w:rPr>
                <w:rFonts w:hint="default" w:ascii="仿宋" w:hAnsi="仿宋" w:eastAsia="仿宋" w:cs="仿宋"/>
                <w:i w:val="0"/>
                <w:iCs w:val="0"/>
                <w:color w:val="auto"/>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否决项</w:t>
            </w:r>
          </w:p>
        </w:tc>
        <w:tc>
          <w:tcPr>
            <w:tcW w:w="10982" w:type="dxa"/>
            <w:gridSpan w:val="5"/>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在考核期内出现重大违规违纪、重大工作疏漏等情况，考核结果实行“一票否决”。评定为“不胜任”。</w:t>
            </w:r>
          </w:p>
        </w:tc>
        <w:tc>
          <w:tcPr>
            <w:tcW w:w="124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112"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hint="eastAsia" w:ascii="仿宋" w:hAnsi="仿宋" w:eastAsia="仿宋" w:cs="仿宋"/>
                <w:i w:val="0"/>
                <w:iCs w:val="0"/>
                <w:color w:val="auto"/>
                <w:sz w:val="22"/>
                <w:szCs w:val="22"/>
                <w:highlight w:val="none"/>
                <w:u w:val="none"/>
              </w:rPr>
            </w:pPr>
          </w:p>
        </w:tc>
        <w:tc>
          <w:tcPr>
            <w:tcW w:w="144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31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综合考核评价合计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4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131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备注：考核结果标准参见本责任书第三条关于考核结果标准的规定。</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2"/>
                <w:szCs w:val="22"/>
                <w:highlight w:val="none"/>
                <w:u w:val="none"/>
              </w:rPr>
            </w:pPr>
          </w:p>
        </w:tc>
      </w:tr>
    </w:tbl>
    <w:p>
      <w:pPr>
        <w:rPr>
          <w:rFonts w:hint="eastAsia" w:eastAsiaTheme="minorEastAsia"/>
          <w:color w:val="auto"/>
          <w:highlight w:val="none"/>
          <w:lang w:val="en-US" w:eastAsia="zh-CN"/>
        </w:rPr>
      </w:pPr>
    </w:p>
    <w:sectPr>
      <w:pgSz w:w="16838" w:h="11906" w:orient="landscape"/>
      <w:pgMar w:top="624" w:right="1814" w:bottom="79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445726"/>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clear" w:pos="4153"/>
      </w:tabs>
      <w:ind w:firstLine="354" w:firstLineChars="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7AFC9"/>
    <w:multiLevelType w:val="singleLevel"/>
    <w:tmpl w:val="8697AFC9"/>
    <w:lvl w:ilvl="0" w:tentative="0">
      <w:start w:val="2"/>
      <w:numFmt w:val="decimal"/>
      <w:lvlText w:val="%1."/>
      <w:lvlJc w:val="left"/>
      <w:pPr>
        <w:tabs>
          <w:tab w:val="left" w:pos="312"/>
        </w:tabs>
      </w:pPr>
    </w:lvl>
  </w:abstractNum>
  <w:abstractNum w:abstractNumId="1">
    <w:nsid w:val="B64E7133"/>
    <w:multiLevelType w:val="singleLevel"/>
    <w:tmpl w:val="B64E7133"/>
    <w:lvl w:ilvl="0" w:tentative="0">
      <w:start w:val="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zMjQ5NTkzYWE2ZGM0ODY5OWMyY2EzMDMwZDQ0YjkifQ=="/>
  </w:docVars>
  <w:rsids>
    <w:rsidRoot w:val="00F139BF"/>
    <w:rsid w:val="0005670D"/>
    <w:rsid w:val="00097B5C"/>
    <w:rsid w:val="000E4620"/>
    <w:rsid w:val="00137F6A"/>
    <w:rsid w:val="0018500D"/>
    <w:rsid w:val="00371149"/>
    <w:rsid w:val="003A09B9"/>
    <w:rsid w:val="004467E8"/>
    <w:rsid w:val="0053655F"/>
    <w:rsid w:val="005373E0"/>
    <w:rsid w:val="005B57C4"/>
    <w:rsid w:val="006A6B12"/>
    <w:rsid w:val="006B4CC1"/>
    <w:rsid w:val="007F1041"/>
    <w:rsid w:val="00846253"/>
    <w:rsid w:val="00943756"/>
    <w:rsid w:val="009B4BFD"/>
    <w:rsid w:val="00A411A1"/>
    <w:rsid w:val="00A51B6E"/>
    <w:rsid w:val="00B16EF5"/>
    <w:rsid w:val="00C66DF2"/>
    <w:rsid w:val="00CF1E4C"/>
    <w:rsid w:val="00F139BF"/>
    <w:rsid w:val="00F14CF7"/>
    <w:rsid w:val="00FA7687"/>
    <w:rsid w:val="01A85D51"/>
    <w:rsid w:val="028951BE"/>
    <w:rsid w:val="073267E9"/>
    <w:rsid w:val="074B3A33"/>
    <w:rsid w:val="07D25FCC"/>
    <w:rsid w:val="0882344E"/>
    <w:rsid w:val="09045F63"/>
    <w:rsid w:val="091B5CC4"/>
    <w:rsid w:val="092A726D"/>
    <w:rsid w:val="096C30C0"/>
    <w:rsid w:val="09842C00"/>
    <w:rsid w:val="0A1F1310"/>
    <w:rsid w:val="0AD46593"/>
    <w:rsid w:val="0ADE0980"/>
    <w:rsid w:val="0C1F64B5"/>
    <w:rsid w:val="0C7765C1"/>
    <w:rsid w:val="0CF7640A"/>
    <w:rsid w:val="0D7356D1"/>
    <w:rsid w:val="0E141980"/>
    <w:rsid w:val="0EC57A1B"/>
    <w:rsid w:val="0EF46D99"/>
    <w:rsid w:val="0FAC2EB1"/>
    <w:rsid w:val="0FE108DE"/>
    <w:rsid w:val="10054C9F"/>
    <w:rsid w:val="106D2CDF"/>
    <w:rsid w:val="10BE6B8A"/>
    <w:rsid w:val="11083527"/>
    <w:rsid w:val="111E7186"/>
    <w:rsid w:val="12724437"/>
    <w:rsid w:val="13197CE3"/>
    <w:rsid w:val="14B248C4"/>
    <w:rsid w:val="15724EE3"/>
    <w:rsid w:val="15D31197"/>
    <w:rsid w:val="1617020E"/>
    <w:rsid w:val="16C15493"/>
    <w:rsid w:val="1717573A"/>
    <w:rsid w:val="17195558"/>
    <w:rsid w:val="18347CFB"/>
    <w:rsid w:val="18E64B9F"/>
    <w:rsid w:val="193E272D"/>
    <w:rsid w:val="19C33AAB"/>
    <w:rsid w:val="1BEB1829"/>
    <w:rsid w:val="1C4C40B5"/>
    <w:rsid w:val="1C8459AD"/>
    <w:rsid w:val="1D2652D1"/>
    <w:rsid w:val="1D9C4B42"/>
    <w:rsid w:val="1DA51412"/>
    <w:rsid w:val="1E1035BB"/>
    <w:rsid w:val="1F0F7F18"/>
    <w:rsid w:val="1F351B34"/>
    <w:rsid w:val="1F412FC3"/>
    <w:rsid w:val="1F94687E"/>
    <w:rsid w:val="1FFE734E"/>
    <w:rsid w:val="20717317"/>
    <w:rsid w:val="20900842"/>
    <w:rsid w:val="21285067"/>
    <w:rsid w:val="213B7221"/>
    <w:rsid w:val="2198560E"/>
    <w:rsid w:val="246E6D6E"/>
    <w:rsid w:val="24DD4374"/>
    <w:rsid w:val="25211698"/>
    <w:rsid w:val="25926C6F"/>
    <w:rsid w:val="25ED073E"/>
    <w:rsid w:val="26937956"/>
    <w:rsid w:val="27303539"/>
    <w:rsid w:val="27412EF2"/>
    <w:rsid w:val="276520F3"/>
    <w:rsid w:val="27C87FB5"/>
    <w:rsid w:val="28205962"/>
    <w:rsid w:val="28E82CEA"/>
    <w:rsid w:val="29AF78D0"/>
    <w:rsid w:val="2A9248FD"/>
    <w:rsid w:val="2B522729"/>
    <w:rsid w:val="2B8629F3"/>
    <w:rsid w:val="2C1C6348"/>
    <w:rsid w:val="2C213F08"/>
    <w:rsid w:val="2D922660"/>
    <w:rsid w:val="2DC63D58"/>
    <w:rsid w:val="2DE14545"/>
    <w:rsid w:val="2F723377"/>
    <w:rsid w:val="2FCC2123"/>
    <w:rsid w:val="30035E83"/>
    <w:rsid w:val="302F3016"/>
    <w:rsid w:val="304A77C0"/>
    <w:rsid w:val="30521A5F"/>
    <w:rsid w:val="32B54B3A"/>
    <w:rsid w:val="3395035A"/>
    <w:rsid w:val="33BA52ED"/>
    <w:rsid w:val="33FF0C2A"/>
    <w:rsid w:val="34594DAC"/>
    <w:rsid w:val="34B30B48"/>
    <w:rsid w:val="34B772DA"/>
    <w:rsid w:val="352A4F93"/>
    <w:rsid w:val="363632A6"/>
    <w:rsid w:val="363B44C3"/>
    <w:rsid w:val="36A0096A"/>
    <w:rsid w:val="37435748"/>
    <w:rsid w:val="38F512A1"/>
    <w:rsid w:val="3AA57426"/>
    <w:rsid w:val="3AFD4048"/>
    <w:rsid w:val="3B433ACB"/>
    <w:rsid w:val="3D4E0CC8"/>
    <w:rsid w:val="3DF9797D"/>
    <w:rsid w:val="3F3B5F7C"/>
    <w:rsid w:val="3F727A00"/>
    <w:rsid w:val="41664C75"/>
    <w:rsid w:val="417608CD"/>
    <w:rsid w:val="41BA483A"/>
    <w:rsid w:val="42B72C34"/>
    <w:rsid w:val="43645C16"/>
    <w:rsid w:val="441D3794"/>
    <w:rsid w:val="442362DE"/>
    <w:rsid w:val="46584C1D"/>
    <w:rsid w:val="469A03CA"/>
    <w:rsid w:val="477327CD"/>
    <w:rsid w:val="477D7C15"/>
    <w:rsid w:val="47C22F4C"/>
    <w:rsid w:val="48BC5910"/>
    <w:rsid w:val="48C0534A"/>
    <w:rsid w:val="491A3E9E"/>
    <w:rsid w:val="49640E77"/>
    <w:rsid w:val="496B5228"/>
    <w:rsid w:val="49DB22FB"/>
    <w:rsid w:val="49DF3F27"/>
    <w:rsid w:val="4A8B69AD"/>
    <w:rsid w:val="4B8E3CB2"/>
    <w:rsid w:val="4C914E2A"/>
    <w:rsid w:val="4D82741E"/>
    <w:rsid w:val="4D930BBF"/>
    <w:rsid w:val="4DD00779"/>
    <w:rsid w:val="4DDC49F6"/>
    <w:rsid w:val="4E4842DA"/>
    <w:rsid w:val="4F750AE7"/>
    <w:rsid w:val="4FDD6431"/>
    <w:rsid w:val="51884475"/>
    <w:rsid w:val="5403433C"/>
    <w:rsid w:val="549E0786"/>
    <w:rsid w:val="56247D44"/>
    <w:rsid w:val="562655A5"/>
    <w:rsid w:val="56351491"/>
    <w:rsid w:val="586D5D2A"/>
    <w:rsid w:val="58991DA6"/>
    <w:rsid w:val="58A47008"/>
    <w:rsid w:val="58B02FC0"/>
    <w:rsid w:val="59BF34B1"/>
    <w:rsid w:val="59EC3BA2"/>
    <w:rsid w:val="59FF5F31"/>
    <w:rsid w:val="5A2D7894"/>
    <w:rsid w:val="5ADD6583"/>
    <w:rsid w:val="5B261CBE"/>
    <w:rsid w:val="5C2B4174"/>
    <w:rsid w:val="5D105B79"/>
    <w:rsid w:val="5EA70098"/>
    <w:rsid w:val="5F380218"/>
    <w:rsid w:val="5F3C2ED6"/>
    <w:rsid w:val="606D750C"/>
    <w:rsid w:val="60F95FE5"/>
    <w:rsid w:val="615C3F15"/>
    <w:rsid w:val="619567E9"/>
    <w:rsid w:val="61BC2830"/>
    <w:rsid w:val="62235A69"/>
    <w:rsid w:val="62346F2A"/>
    <w:rsid w:val="62356DFF"/>
    <w:rsid w:val="623E483C"/>
    <w:rsid w:val="62683FE2"/>
    <w:rsid w:val="62CC1B1F"/>
    <w:rsid w:val="62F558D3"/>
    <w:rsid w:val="63205274"/>
    <w:rsid w:val="654C5E9C"/>
    <w:rsid w:val="66B377CE"/>
    <w:rsid w:val="68E5013A"/>
    <w:rsid w:val="69365EE7"/>
    <w:rsid w:val="69425B0B"/>
    <w:rsid w:val="695C2D65"/>
    <w:rsid w:val="699A0805"/>
    <w:rsid w:val="69A20A50"/>
    <w:rsid w:val="6A2B6021"/>
    <w:rsid w:val="6ADA2D74"/>
    <w:rsid w:val="6ADF1871"/>
    <w:rsid w:val="6B0646B9"/>
    <w:rsid w:val="6B185409"/>
    <w:rsid w:val="6B2B0C6F"/>
    <w:rsid w:val="6B3242F3"/>
    <w:rsid w:val="6B5775BA"/>
    <w:rsid w:val="6B81236C"/>
    <w:rsid w:val="6C9B1FAE"/>
    <w:rsid w:val="6CD66B4B"/>
    <w:rsid w:val="6EB62B44"/>
    <w:rsid w:val="6EBE1EA3"/>
    <w:rsid w:val="6ED37373"/>
    <w:rsid w:val="6EEA629F"/>
    <w:rsid w:val="70E43420"/>
    <w:rsid w:val="72707360"/>
    <w:rsid w:val="72E81775"/>
    <w:rsid w:val="73F46CD3"/>
    <w:rsid w:val="74727934"/>
    <w:rsid w:val="74A2407A"/>
    <w:rsid w:val="74C46617"/>
    <w:rsid w:val="75070B75"/>
    <w:rsid w:val="752F0AB6"/>
    <w:rsid w:val="75864B56"/>
    <w:rsid w:val="75E85C85"/>
    <w:rsid w:val="765942F4"/>
    <w:rsid w:val="76A1185A"/>
    <w:rsid w:val="785D465D"/>
    <w:rsid w:val="789532B3"/>
    <w:rsid w:val="79872739"/>
    <w:rsid w:val="7ABA438D"/>
    <w:rsid w:val="7B2700D8"/>
    <w:rsid w:val="7B2856D1"/>
    <w:rsid w:val="7B977907"/>
    <w:rsid w:val="7BD51A4A"/>
    <w:rsid w:val="7BD7568C"/>
    <w:rsid w:val="7C1A513B"/>
    <w:rsid w:val="7CF554B7"/>
    <w:rsid w:val="7D464593"/>
    <w:rsid w:val="7DDA6321"/>
    <w:rsid w:val="7E155EED"/>
    <w:rsid w:val="7F932251"/>
    <w:rsid w:val="7FCD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spacing w:line="560" w:lineRule="exact"/>
      <w:jc w:val="both"/>
    </w:pPr>
    <w:rPr>
      <w:rFonts w:ascii="宋体" w:hAnsi="Times New Roman" w:eastAsia="宋体" w:cs="宋体"/>
      <w:color w:val="000000"/>
      <w:sz w:val="24"/>
      <w:szCs w:val="24"/>
      <w:lang w:val="en-US" w:eastAsia="zh-CN" w:bidi="ar-SA"/>
    </w:rPr>
  </w:style>
  <w:style w:type="paragraph" w:styleId="3">
    <w:name w:val="Body Text"/>
    <w:basedOn w:val="1"/>
    <w:qFormat/>
    <w:uiPriority w:val="1"/>
    <w:rPr>
      <w:rFonts w:ascii="宋体" w:hAnsi="宋体" w:eastAsia="宋体" w:cs="宋体"/>
      <w:sz w:val="28"/>
      <w:szCs w:val="28"/>
    </w:rPr>
  </w:style>
  <w:style w:type="paragraph" w:styleId="4">
    <w:name w:val="Body Text Indent"/>
    <w:basedOn w:val="1"/>
    <w:link w:val="13"/>
    <w:unhideWhenUsed/>
    <w:qFormat/>
    <w:uiPriority w:val="99"/>
    <w:pPr>
      <w:spacing w:after="120"/>
      <w:ind w:left="420" w:leftChars="2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正文文本缩进 字符"/>
    <w:basedOn w:val="10"/>
    <w:link w:val="4"/>
    <w:qFormat/>
    <w:uiPriority w:val="99"/>
    <w:rPr>
      <w:rFonts w:asciiTheme="minorHAnsi" w:hAnsiTheme="minorHAnsi" w:eastAsiaTheme="minorEastAsia" w:cstheme="minorBidi"/>
      <w:kern w:val="2"/>
      <w:sz w:val="21"/>
      <w:szCs w:val="22"/>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3535</Words>
  <Characters>3774</Characters>
  <Lines>11</Lines>
  <Paragraphs>3</Paragraphs>
  <TotalTime>0</TotalTime>
  <ScaleCrop>false</ScaleCrop>
  <LinksUpToDate>false</LinksUpToDate>
  <CharactersWithSpaces>4062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2021-06-23T14:19:00Z</dcterms:created>
  <dc:creator>a</dc:creator>
  <cp:lastModifiedBy>余丽丽</cp:lastModifiedBy>
  <cp:lastPrinted>2023-06-13T07:33:00Z</cp:lastPrinted>
  <dcterms:modified xsi:type="dcterms:W3CDTF">2023-10-26T03:37:06Z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E73B041362E2493BA1C8F94DF25019A2_13</vt:lpwstr>
  </property>
</Properties>
</file>