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eastAsia="zh-CN"/>
        </w:rPr>
        <w:t>襄阳云谷投资管理有限公司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val="en-US" w:eastAsia="zh-CN"/>
        </w:rPr>
        <w:t>职业经理人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岗位聘任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val="en-US" w:eastAsia="zh-CN"/>
        </w:rPr>
        <w:t>合同</w:t>
      </w:r>
    </w:p>
    <w:p>
      <w:pPr>
        <w:keepNext w:val="0"/>
        <w:keepLines w:val="0"/>
        <w:pageBreakBefore w:val="0"/>
        <w:widowControl w:val="0"/>
        <w:tabs>
          <w:tab w:val="left" w:pos="1933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eastAsia="方正小标宋简体"/>
          <w:color w:val="auto"/>
          <w:sz w:val="32"/>
          <w:szCs w:val="28"/>
          <w:highlight w:val="none"/>
          <w:lang w:eastAsia="zh-CN"/>
        </w:rPr>
      </w:pPr>
      <w:r>
        <w:rPr>
          <w:rFonts w:hint="eastAsia" w:ascii="方正小标宋简体" w:eastAsia="方正小标宋简体"/>
          <w:color w:val="auto"/>
          <w:sz w:val="32"/>
          <w:szCs w:val="28"/>
          <w:highlight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default" w:ascii="仿宋_GB2312" w:eastAsia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聘任方（甲方）：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法定代表人：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ascii="仿宋_GB2312"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联系方式：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受聘方（乙方）：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ascii="仿宋_GB2312"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身份证号：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default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联系方式：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根据《中华人民共和国劳动法》《中华人民共和国公司法》和我国现行相关规定，甲、乙双方遵循合法、公平、平等自愿、协商一致、诚实守信的原则，订立本协议，同时作为劳动合同的补充条款，以期共同遵守，并确认为解决双方争议时的依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一、聘任岗位和任期期限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甲方聘任乙方担任甲方的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职务（岗位）。聘用期为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年，即自公历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次聘任为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公司职业经理人的，实行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任期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试用期制度，试用期为一年。任期届满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考核合格的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可以续聘，重新履行聘任程序并签订聘任合同。未能续聘的，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自然解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聘任期满前一个月，甲方根据上级党委意见，综合乙方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能勤绩廉表现和任期考核结果，在“双向选择”的基础上，经双方协商同意，可以续订聘任协议。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任何一方决定不再续订聘任协议的，应在本协议期满前一个月书面通知对方。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乙方岗位与分工原则上任期内保持相对稳定，特殊情况下，根据工作需要，经甲乙双方协商同意，可以变更工作岗位。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二、乙方岗位职责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根据甲方经理层业务分工，乙方根据甲方授权，按照甲方对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（职务）的责任分工开展工作，行使相应职责（具体以分工文件及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岗位说明书为准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详见《襄阳云谷投资管理有限公司岗位管理制度》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）。乙方根据甲方相关制度参与甲方重大经营决策。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双方的权利与义务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（一）甲方的权利、义务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1.甲方应根据有关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法律法规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和有关规定，在权限范围内行使对乙方的管理权，聘任权、考核权、奖惩权等。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2.甲方应按照有关规定，保证乙方享受应有的权利，保障乙方完成工作任务。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3.根据乙方的工作能力、表现和工作需要，甲方有权对乙方进行岗位变动或工作内容调整。本聘任协议签订后，乙方无正当理由七日内未到岗位履行职责，甲方有权解除本聘任协议。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4.甲方应当根据岗位特点和工作需要对乙方进行政治思想、职业道德、遵纪守法、规章制度、安全知识、知识水平和业务水平的教育和培训。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（二）乙方的权利和义务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1.乙方享有《劳动法》规定的权利。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2.乙方应认真履行《劳动法》规定的义务。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3.乙方在从事本岗位工作时，有权要求甲方提供本岗位相应的工作条件和需具备的劳动保护。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4.乙方应当按照甲方关于本岗位工作任务，责任要求和完成工作规定的任务，达到规定的质量标准。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5.遵守甲方的各项规章制度，服从甲方的管理。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6.乙方离职或退休后，应继续对原任职企业的商业秘密、核心技术、专利等负有保密义务，保密期限按照国家和原任职企业的规定执行。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四、乙方的薪酬待遇</w:t>
      </w: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聘任期间乙方的薪酬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基本年薪、绩效年薪、任期激励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履职待遇四部分构成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具体按照《襄阳云谷投资管理有限公司职业经理人选聘工作方案》执行。</w:t>
      </w:r>
    </w:p>
    <w:p>
      <w:pPr>
        <w:pStyle w:val="5"/>
        <w:numPr>
          <w:ilvl w:val="0"/>
          <w:numId w:val="0"/>
        </w:numPr>
        <w:spacing w:after="0" w:line="560" w:lineRule="exact"/>
        <w:ind w:leftChars="200"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1.基本年薪和绩效年薪总和为32.2万元/年。</w:t>
      </w:r>
    </w:p>
    <w:p>
      <w:pPr>
        <w:pStyle w:val="5"/>
        <w:numPr>
          <w:ilvl w:val="-1"/>
          <w:numId w:val="0"/>
        </w:numPr>
        <w:spacing w:after="0"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基本年薪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为12.88万元/年，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是职业经理人的年度基本收入，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固定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工资的形式分12个月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发放。</w:t>
      </w:r>
    </w:p>
    <w:p>
      <w:pPr>
        <w:pStyle w:val="5"/>
        <w:spacing w:after="0"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绩效年薪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为19.32万元/年，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是与职业经理人年度经营业绩考核结果挂钩的浮动收入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绩效年薪按照“月度预发，年度结算”的方式发放，按照绩效年薪的65%的比例随月预发，差额部分在次年年度考核后一次性兑付（多退少补）。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年度综合考核评价结果为不胜任的，不得领取绩效年薪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已预发的部分予以退回。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任期激励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为18万元/任期，即平均6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万元/年。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任期激励是与职业经理人任期经营业绩考核结果挂钩的收入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，任期结束后按任期考核结果予以发放。任期综合考核评价结果为不胜任的，不得领取任期激励收入。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乙方以下三种情形解除（终止）聘任和劳动关系的，且经离任审计无遗留问题，并完成离职交接的，可根据年度（任期）考核评价结果，按照岗位任职时间，领取相应的绩效年薪（任期激励）收入。（1）任期内因个人原因离职，且提前2个月向董事会提交离职申请，经与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协商一致解除聘任合同的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；（2）任期届满考核合格但不再续聘的；（3）达到法定退休年龄的。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4.乙方以下五种情形解除（终止）聘任和劳动关系的，原则上不得兑现当年绩效年薪、任期激励和其他中长期激励收入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经营业绩考核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不达标的；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年度或任期综合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考核结果为不胜任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或连续两年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年度综合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考核结果均为基本胜任的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（3）因严重违纪违法、严重违法企业管理制度被追究相关责任的。（4）聘任期间有重大失误造成严重损失或者不良后果的。（5）未经批准擅自离职的，或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离任审计存在重大问题的，或未完成离职交接的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乙方在任期内出现重大失误，给企业造成重大损失的，应当追索扣回部分或者全部已支付绩效年薪、任期激励收入、中长期激励收入，并止付所有未支付部分。追索扣回制度同样适用于已离职或退休的职业经理人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6.乙方履职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待遇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和业务支出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市属企业相关规定执行。乙方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按照国家有关规定和公司制度享有社保、住房公积金、企业年金、补充医疗保险待遇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五、退出规定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乙方出现《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襄阳云谷投资管理有限公司职业经理人工作方案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》规定的退出情形之一的，</w:t>
      </w:r>
      <w:bookmarkStart w:id="0" w:name="_Hlk89795489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按管理权限审批退出。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经甲方研究认定为不胜任或不适宜担任现职的，应当及时终止任期、免去现职、及时解聘，不得以任期未满为由继续留任。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六、乙方禁止义务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乙方在履职期间应当维护企业国有资产安全、防止国有资产流失，不得侵吞、贪污、输送、挥霍国有资产和逃废金融债务。如有上述情形，按照干部管理权限，由有关部门根据《国务院办公厅关于建立国有企业违规经营投资责任追究制度》国办发〔2015〕63号）文件追究其责任，情节严重的，移交司法机关处理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乙方不得利用职权收受贿赂或者其他非法收入，不得侵占甲方的财产。乙方在对外业务中，收受的回扣、商业礼品应当在接受后三日内一律上缴甲方并说明具体情况，否则视为乙方侵占甲方财物，甲方有权解除劳动合同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支付任何经济补偿。乙方收受贿赂、侵占甲方财产构成犯罪的，由此引起的刑事及民事责任由乙方本人承担。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乙方严禁从事下列行为：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1.挪用甲方资金；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2.将甲方资金以其个人名义或者以其他个人名义开立账户存储；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3.未经同意，将甲方资金借贷给他人或者以甲方财产为他人提供担保；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4.未经同意，利用职务便利为自己或者他人谋取属于甲方的商业机会；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5.接受他人与甲方交易的佣金归为己有；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6.擅自披露甲方秘密；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7.违反对甲方忠实义务的其他行为。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七、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本协议的变更、解除、终止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本协议的变更可由甲乙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双方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中的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任何一方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提出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变更采用书面形式，经双方书面确认后生效；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（二）乙方有下列情形一时，甲方可以立即解除本协议：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1.被依法追究刑事责任的；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2.营私舞弊、严重失职，并给甲方造成重大经济损失的；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3.严重违反甲方所订规章制度，并在甲方范围内造成恶劣影响的；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4.乙方向甲方提供虚假简历、学历证明资料的。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（三）甲方有下列情形之一时，乙方可以立即解除本协议；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1.甲方未能按协议约定如数发放工资且超过发放时间两个月；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2.甲方胁迫乙方从事违法工作的。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八、责任追究及纠纷处理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对乙方违反党纪法规及相关规定，未履行或未正确履行职责，在经营投资等工作中造成国有资产损失或其他严重不良后果的，严肃追究责任，实行重大决策终身责任追究制度。符合“三个区分开来”要求，且乙方在履职过程中公私分明、尽职合规，经甲方研究可适当减免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协议纠纷以双方协商解决为主，劳动仲裁或诉讼解决为辅。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协议任一方因违反本协议约定所产生的包括但不限于违约金、赔偿金、补偿金等责任，按照《中华人民共和国劳动法》《中华人民共和国劳动合同法》等相关法律法规规定执行。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本协议及相关附件经甲乙双方盖章或签字后生效；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本协议未尽事宜由甲乙双方协商解决；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本协议一式两份，甲乙双方各执一份，具有同等效力。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color w:val="auto"/>
          <w:sz w:val="32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  <w:t>聘任方（盖章）：                   受聘方（签字）：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  <w:t>法定代表人（签字）：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color w:val="auto"/>
          <w:sz w:val="32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28"/>
          <w:highlight w:val="none"/>
        </w:rPr>
        <w:t xml:space="preserve">        年  月  日                      年  月  日</w:t>
      </w:r>
    </w:p>
    <w:sectPr>
      <w:footerReference r:id="rId3" w:type="default"/>
      <w:pgSz w:w="11906" w:h="16838"/>
      <w:pgMar w:top="1984" w:right="1474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889498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CA8912"/>
    <w:multiLevelType w:val="singleLevel"/>
    <w:tmpl w:val="CCCA89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EE56DBD"/>
    <w:multiLevelType w:val="singleLevel"/>
    <w:tmpl w:val="0EE56DB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5979D79"/>
    <w:multiLevelType w:val="singleLevel"/>
    <w:tmpl w:val="25979D7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zMjQ5NTkzYWE2ZGM0ODY5OWMyY2EzMDMwZDQ0YjkifQ=="/>
  </w:docVars>
  <w:rsids>
    <w:rsidRoot w:val="00E57818"/>
    <w:rsid w:val="0020148F"/>
    <w:rsid w:val="00212B11"/>
    <w:rsid w:val="00267D6C"/>
    <w:rsid w:val="00293A80"/>
    <w:rsid w:val="00424F6B"/>
    <w:rsid w:val="004C2E0B"/>
    <w:rsid w:val="0064243B"/>
    <w:rsid w:val="00731C18"/>
    <w:rsid w:val="00753720"/>
    <w:rsid w:val="00775055"/>
    <w:rsid w:val="00951FCB"/>
    <w:rsid w:val="0096667A"/>
    <w:rsid w:val="009E524F"/>
    <w:rsid w:val="00BA3E0C"/>
    <w:rsid w:val="00C279C0"/>
    <w:rsid w:val="00D37AB5"/>
    <w:rsid w:val="00E57818"/>
    <w:rsid w:val="00F86158"/>
    <w:rsid w:val="02746D22"/>
    <w:rsid w:val="03B40877"/>
    <w:rsid w:val="03BF707C"/>
    <w:rsid w:val="04F253FD"/>
    <w:rsid w:val="05567260"/>
    <w:rsid w:val="056604A6"/>
    <w:rsid w:val="05DD41BC"/>
    <w:rsid w:val="084625F1"/>
    <w:rsid w:val="093B6313"/>
    <w:rsid w:val="0B5F0D54"/>
    <w:rsid w:val="0CD50D4A"/>
    <w:rsid w:val="0CE035CA"/>
    <w:rsid w:val="0EA3559F"/>
    <w:rsid w:val="0EFA0194"/>
    <w:rsid w:val="13237937"/>
    <w:rsid w:val="139E0AEF"/>
    <w:rsid w:val="13D46237"/>
    <w:rsid w:val="144558FA"/>
    <w:rsid w:val="1521199E"/>
    <w:rsid w:val="16DE381E"/>
    <w:rsid w:val="17A10A4E"/>
    <w:rsid w:val="185A0D17"/>
    <w:rsid w:val="19512442"/>
    <w:rsid w:val="197517CA"/>
    <w:rsid w:val="19A4328A"/>
    <w:rsid w:val="19BC2D24"/>
    <w:rsid w:val="1C254068"/>
    <w:rsid w:val="1CB67750"/>
    <w:rsid w:val="1EAF2075"/>
    <w:rsid w:val="20972479"/>
    <w:rsid w:val="22953E2B"/>
    <w:rsid w:val="236F3B02"/>
    <w:rsid w:val="287D57E6"/>
    <w:rsid w:val="28AC519E"/>
    <w:rsid w:val="2A967FBC"/>
    <w:rsid w:val="2AC16DC3"/>
    <w:rsid w:val="2B0D48A7"/>
    <w:rsid w:val="2B187A57"/>
    <w:rsid w:val="2BFD3B98"/>
    <w:rsid w:val="2CC66688"/>
    <w:rsid w:val="2D4C7E65"/>
    <w:rsid w:val="2E240F9E"/>
    <w:rsid w:val="30167E3A"/>
    <w:rsid w:val="31DE6740"/>
    <w:rsid w:val="32167124"/>
    <w:rsid w:val="32EB02CC"/>
    <w:rsid w:val="32FB6BFC"/>
    <w:rsid w:val="341112B9"/>
    <w:rsid w:val="34E52FC5"/>
    <w:rsid w:val="35DD4AC9"/>
    <w:rsid w:val="361B73CF"/>
    <w:rsid w:val="36A352ED"/>
    <w:rsid w:val="37713FAD"/>
    <w:rsid w:val="377D4ECB"/>
    <w:rsid w:val="388B2246"/>
    <w:rsid w:val="392C74A6"/>
    <w:rsid w:val="39D25EB3"/>
    <w:rsid w:val="3A251077"/>
    <w:rsid w:val="3A6D0BE5"/>
    <w:rsid w:val="3A763348"/>
    <w:rsid w:val="3AA15FF1"/>
    <w:rsid w:val="3BAC25C6"/>
    <w:rsid w:val="3BE61375"/>
    <w:rsid w:val="3DE7525F"/>
    <w:rsid w:val="3EDC0996"/>
    <w:rsid w:val="3F004B80"/>
    <w:rsid w:val="403035B6"/>
    <w:rsid w:val="40B06372"/>
    <w:rsid w:val="42CB6230"/>
    <w:rsid w:val="483942B8"/>
    <w:rsid w:val="49A15A6A"/>
    <w:rsid w:val="49EA3B40"/>
    <w:rsid w:val="509B10A0"/>
    <w:rsid w:val="51762FA9"/>
    <w:rsid w:val="521B656C"/>
    <w:rsid w:val="522763C6"/>
    <w:rsid w:val="526528CA"/>
    <w:rsid w:val="52C71C34"/>
    <w:rsid w:val="53176D0C"/>
    <w:rsid w:val="549D18C1"/>
    <w:rsid w:val="54DB68F1"/>
    <w:rsid w:val="5578179C"/>
    <w:rsid w:val="55B378AC"/>
    <w:rsid w:val="56B132CB"/>
    <w:rsid w:val="58EE1A6F"/>
    <w:rsid w:val="5ADD411B"/>
    <w:rsid w:val="5B371CF7"/>
    <w:rsid w:val="5C5812A1"/>
    <w:rsid w:val="5C983BCA"/>
    <w:rsid w:val="60F12FAF"/>
    <w:rsid w:val="65501489"/>
    <w:rsid w:val="65515D76"/>
    <w:rsid w:val="68757459"/>
    <w:rsid w:val="69953CC0"/>
    <w:rsid w:val="69E64A27"/>
    <w:rsid w:val="6C8D72BB"/>
    <w:rsid w:val="6CAD5812"/>
    <w:rsid w:val="6CEA1290"/>
    <w:rsid w:val="6E0B34D3"/>
    <w:rsid w:val="6ED541C9"/>
    <w:rsid w:val="6EFF767E"/>
    <w:rsid w:val="70BF6F03"/>
    <w:rsid w:val="70E9415D"/>
    <w:rsid w:val="713760E7"/>
    <w:rsid w:val="72430221"/>
    <w:rsid w:val="72F81DC7"/>
    <w:rsid w:val="74A33340"/>
    <w:rsid w:val="75344031"/>
    <w:rsid w:val="757700D0"/>
    <w:rsid w:val="75BA006A"/>
    <w:rsid w:val="75C56001"/>
    <w:rsid w:val="774A2706"/>
    <w:rsid w:val="779276DF"/>
    <w:rsid w:val="780715B7"/>
    <w:rsid w:val="780F27B8"/>
    <w:rsid w:val="78823E2B"/>
    <w:rsid w:val="7B531677"/>
    <w:rsid w:val="7CAC6F11"/>
    <w:rsid w:val="7CFF424C"/>
    <w:rsid w:val="7ECB497A"/>
    <w:rsid w:val="7EED63AD"/>
    <w:rsid w:val="7F2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5">
    <w:name w:val="Body Text Indent"/>
    <w:basedOn w:val="1"/>
    <w:unhideWhenUsed/>
    <w:qFormat/>
    <w:uiPriority w:val="0"/>
    <w:pPr>
      <w:ind w:firstLine="540" w:firstLineChars="257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568</Words>
  <Characters>3244</Characters>
  <Lines>27</Lines>
  <Paragraphs>7</Paragraphs>
  <TotalTime>6</TotalTime>
  <ScaleCrop>false</ScaleCrop>
  <LinksUpToDate>false</LinksUpToDate>
  <CharactersWithSpaces>3805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2021-06-23T13:55:00Z</dcterms:created>
  <dc:creator>a</dc:creator>
  <cp:lastModifiedBy>余丽丽</cp:lastModifiedBy>
  <cp:lastPrinted>2023-06-13T07:24:00Z</cp:lastPrinted>
  <dcterms:modified xsi:type="dcterms:W3CDTF">2023-10-26T03:35:58Z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B34275876845425084F2ACD235274809_13</vt:lpwstr>
  </property>
</Properties>
</file>