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年荔湾区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岭南街道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编外人员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岗位需求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="1220" w:tblpY="457"/>
        <w:tblOverlap w:val="never"/>
        <w:tblW w:w="13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00"/>
        <w:gridCol w:w="783"/>
        <w:gridCol w:w="967"/>
        <w:gridCol w:w="716"/>
        <w:gridCol w:w="667"/>
        <w:gridCol w:w="1317"/>
        <w:gridCol w:w="1150"/>
        <w:gridCol w:w="5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人大工委专职工作人员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负责人大的日常工作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网格化服务管理中心工作人员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负责网格化服务管理中心日常工作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sectPr>
          <w:pgSz w:w="16838" w:h="11906" w:orient="landscape"/>
          <w:pgMar w:top="1587" w:right="1928" w:bottom="1474" w:left="1134" w:header="851" w:footer="1531" w:gutter="0"/>
          <w:cols w:space="720" w:num="1"/>
          <w:docGrid w:type="linesAndChars" w:linePitch="598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dzb001</dc:creator>
  <cp:lastModifiedBy>党政办—收发文林月梨</cp:lastModifiedBy>
  <dcterms:modified xsi:type="dcterms:W3CDTF">2023-10-30T02:02:11Z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F7BA5EE77CB84225B53E4E75CF5787F3</vt:lpwstr>
  </property>
</Properties>
</file>