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中共井冈山市委宣传部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val="en-US" w:eastAsia="zh-CN"/>
        </w:rPr>
        <w:t>下属事业单位新时代文明实践促进中心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**-**岗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none"/>
          <w:lang w:val="en-US" w:eastAsia="zh-CN"/>
        </w:rPr>
        <w:t>（请务必注意序号）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4"/>
        <w:gridCol w:w="1587"/>
        <w:gridCol w:w="480"/>
        <w:gridCol w:w="1067"/>
        <w:gridCol w:w="921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请填写现在工作所在地址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请填写户籍所在地址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取得毕业证才算有效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中共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井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冈山市委宣传部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下属事业单位新时代文明实践促进中心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户籍所在地以身份证为准，现居住地为目前居住地，统一格式。举例：张三户籍为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73804EA5"/>
    <w:rsid w:val="7380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2023-09-21T06:46:00Z</dcterms:created>
  <dc:creator>DELL</dc:creator>
  <cp:lastModifiedBy>DELL</cp:lastModifiedBy>
  <dcterms:modified xsi:type="dcterms:W3CDTF">2023-09-21T06:46:57Z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020F3B293ECE4C7BA7E0BD3437C6ABFB_11</vt:lpwstr>
  </property>
</Properties>
</file>