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个人承诺书</w:t>
      </w:r>
    </w:p>
    <w:p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三亚市吉阳区教育局：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姓名：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_________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，报考三亚市吉阳区教育系统赴高校面向2023年应届毕业生公开招聘编制教师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single"/>
          <w:lang w:val="en-US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考点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准考证号：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本人承诺：在以前的工作和生活期间，无任何犯罪记录，从未参与任何邪教组织，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如有隐瞒，本人愿意自动放弃录用资格并按照相关规定接受处罚。</w:t>
      </w:r>
    </w:p>
    <w:p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>
      <w:pPr>
        <w:ind w:firstLine="4800" w:firstLineChars="1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Yu Gothic UI Semilight">
    <w:panose1 w:val="020B0400000000000000"/>
    <w:charset w:val="80"/>
    <w:family w:val="auto"/>
    <w:pitch w:val="default"/>
    <w:sig w:usb0="00000000" w:usb1="00000000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2020-06-15T11:24:00Z</dcterms:created>
  <dc:creator>容  娴</dc:creator>
  <cp:lastModifiedBy>萤火虫</cp:lastModifiedBy>
  <dcterms:modified xsi:type="dcterms:W3CDTF">2023-09-06T18:41:02Z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DA6A170810E94BFC8B2C7001C008F577_13</vt:lpwstr>
  </property>
</Properties>
</file>