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contextualSpacing/>
        <w:jc w:val="center"/>
        <w:rPr>
          <w:rFonts w:ascii="仿宋" w:hAnsi="仿宋" w:eastAsia="仿宋"/>
          <w:color w:val="auto"/>
          <w:highlight w:val="none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  <w:highlight w:val="none"/>
          <w:lang w:eastAsia="zh-CN"/>
        </w:rPr>
        <w:t>浙江绍兴杭绍临空示范区开发集团有限公司派遣制用工（第二批）招聘岗位表</w:t>
      </w:r>
    </w:p>
    <w:tbl>
      <w:tblPr>
        <w:tblStyle w:val="6"/>
        <w:tblW w:w="145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85"/>
        <w:gridCol w:w="1185"/>
        <w:gridCol w:w="855"/>
        <w:gridCol w:w="4071"/>
        <w:gridCol w:w="800"/>
        <w:gridCol w:w="4909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计划人数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专业名称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资格条件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综合文字岗位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新闻学、传播学、汉语言文学、 语言学、党务工作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、新闻与传播、信息传播与策划、传媒策划与管理、全媒体新闻采编与制作、新媒体与信息网络、行政管理、工商管理专业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35周岁及以下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中共党员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具有3年以上综合文字、新媒体宣传相关工作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经验学历放宽至非全日制本科。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同等分数下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985、211学校全日制本科毕业的优先。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招投标管理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土木工程、工民建、建筑工程、道路与桥梁工程、交通土建工程、市政工程、交通工程、道路与桥梁工程、工程管理、建设工程管理、管理工程、房地产开发与管理、房地产经营管理、工程造价、工程造价管理、管理科学与工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法学、法律专业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40周岁及以下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年以上招标代理中介机构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国有企事业单位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房地产企业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、建设单位招标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管理工作经验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学历放宽至非全日制本科；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2.同等分数下985、211学校全日制本科毕业的优先。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业主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代表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土木工程、道路与桥梁工程、建筑学、市政工程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、工民建、建筑工程、交通土建工程、市政工程、交通工程、道路与桥梁工程、工程管理、建设工程管理、管理工程专业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35周岁及以下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年及以上工程类相关工作经验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学历放宽至非全日制本科；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2.同等分数下具有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工程类相关专业中级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职称或二级建造师及以上资格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证书或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985、211学校全日制本科毕业的优先。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管理1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土木工程、建筑学、工民建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、建筑设计、景观设计、景观建筑设计、城市设计、风景园林、园林景观工程、园林、园林工程、艺术设计专业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40周岁及以下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具有3年以上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工作经验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的学历放宽至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非全日制本科；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2.同等分数下具有设计相关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中级及以上职称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985、211学校全日制本科毕业的优先。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管理2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道路与桥梁工程、交通土建工程、桥梁与隧道工程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、建筑设计、景观设计、景观建筑设计、城市设计、风景园林、园林景观工程、园林、园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林工程、艺术设计专业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40周岁及以下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具有3年以上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工作经验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的学历放宽至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非全日制本科；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2.同等分数下具有设计相关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中级及以上职称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985、211学校全日制本科毕业的优先。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土地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地理信息科学、城乡规划、人文地理与城乡规划、土地资源管理、土木工程、工程管理、建筑学、工程造价、地质工程、自然地理与资源环境、采矿工程、矿物资源工程、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工民建、建筑工程、交通土建工程、交通工程、道路与桥梁工程、建设工程管理、管理工程、土地管理及房地产开发专业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45周岁及以下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具有2年以上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镇街、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国有企事业单位国有土地收储、拆迁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工作经验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有工程类相关专业中级及以上职称的，学历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放宽至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非全日制本科；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2.同等分数下985、211学校全日制本科毕业的优先。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市场营销、房地产经营管理、工商管理、国际贸易、国际经济与贸易、经济学、贸易经济、经济贸易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、经济与工商管理专业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40周岁及以下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具有2年以上综合市场管理、经营、招商经验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房地产营销管理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房地产经营管理、市场营销管理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、市场营销、土地管理及房地产开发专业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40周岁及以下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具有2年以上房地产行业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销售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工作经验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学历放宽至非全日制本科；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2.同分数下985、211学校全日制本科毕业的优先。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房地产营销主管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房地产经营管理、市场营销管理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、市场营销、土地管理及房地产开发专业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40周岁及以下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年以上房地产行业同等岗位工作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经验学历放宽至非全日制本科；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2.同等分数下985、211学校全日制本科毕业的优先。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工程师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全日制本科及以上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给排水科学与工程、建筑电气与智能化工程、电力工程与管理、建筑电气与智能化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土木工程、工民建、建筑工程、交通土建工程、交通工程、道路与桥梁工程、建设工程管理、管理工程专业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40周岁及以下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1.具备3年以上安装水、电、暖、气、设备等方面的现场施工管理经验学历放宽至非全日制本科；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2.具有10年以上安装水、电、暖、气、设备等方面的现场施工管理经验可放宽至45周岁；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3.同等分数下985、211学校全日制本科毕业的优先。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11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管线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迁改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本科及以上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给排水工程、电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力工程与管理、电力工程及自动化、 市政工程、土木工程、工程管理、建筑学、工程造价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、工民建、建筑工程、交通土建工程、交通工程、道路与桥梁工程、建设工程管理、管理工程专业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周岁及以下</w:t>
            </w: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1.具备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有5年以上工程管理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管线迁改工作经验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学历放宽至非全日制本科；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2.同等分数下985、211学校全日制本科毕业的优先。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需提供岗位工作证明（应届生除外）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r>
        <w:rPr>
          <w:rFonts w:hint="eastAsia"/>
          <w:b/>
          <w:bCs/>
          <w:color w:val="0000FF"/>
          <w:lang w:eastAsia="zh-CN"/>
        </w:rPr>
        <w:t>注：同等分数下，优先条件先后顺序为：岗位工作经验</w:t>
      </w:r>
      <w:r>
        <w:rPr>
          <w:rFonts w:hint="eastAsia"/>
          <w:b/>
          <w:bCs/>
          <w:color w:val="0000FF"/>
          <w:lang w:val="en-US" w:eastAsia="zh-CN"/>
        </w:rPr>
        <w:t>&gt;职称&gt;资格证书&gt;985、211全日制本科学历。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MDYzNzVlNDVhNzU1MjFlNTM1ZDI0ZmY2ZWY2ZWYifQ=="/>
  </w:docVars>
  <w:rsids>
    <w:rsidRoot w:val="334B72A8"/>
    <w:rsid w:val="00052B6D"/>
    <w:rsid w:val="0959257F"/>
    <w:rsid w:val="0C2F6FB6"/>
    <w:rsid w:val="0EE04ED0"/>
    <w:rsid w:val="334B72A8"/>
    <w:rsid w:val="345E2859"/>
    <w:rsid w:val="5A6627C3"/>
    <w:rsid w:val="71600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cs="Arial" w:asciiTheme="minorAscii" w:hAnsiTheme="minorAscii"/>
      <w:snapToGrid w:val="0"/>
      <w:color w:val="000000"/>
      <w:kern w:val="44"/>
      <w:sz w:val="32"/>
      <w:szCs w:val="21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标题 1 Char"/>
    <w:link w:val="3"/>
    <w:uiPriority w:val="0"/>
    <w:rPr>
      <w:rFonts w:eastAsia="黑体" w:cs="Arial" w:asciiTheme="minorAscii" w:hAnsiTheme="minorAscii"/>
      <w:snapToGrid w:val="0"/>
      <w:color w:val="000000"/>
      <w:kern w:val="44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2023</Words>
  <Characters>2105</Characters>
  <Lines>0</Lines>
  <Paragraphs>0</Paragraphs>
  <TotalTime>3</TotalTime>
  <ScaleCrop>false</ScaleCrop>
  <LinksUpToDate>false</LinksUpToDate>
  <CharactersWithSpaces>2108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2023-09-01T00:47:00Z</dcterms:created>
  <dc:creator>谢立明</dc:creator>
  <cp:lastModifiedBy>谢立明</cp:lastModifiedBy>
  <dcterms:modified xsi:type="dcterms:W3CDTF">2023-09-01T00:50:54Z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D13C9933CAE54E34BD891F3033183351_11</vt:lpwstr>
  </property>
</Properties>
</file>