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仿宋_GB2312" w:hAnsi="Times New Roman" w:eastAsia="黑体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-6"/>
          <w:sz w:val="44"/>
          <w:szCs w:val="44"/>
        </w:rPr>
        <w:t>202</w:t>
      </w:r>
      <w:r>
        <w:rPr>
          <w:rFonts w:hint="eastAsia" w:ascii="黑体" w:hAnsi="黑体" w:eastAsia="黑体" w:cs="黑体"/>
          <w:spacing w:val="-6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pacing w:val="-6"/>
          <w:sz w:val="44"/>
          <w:szCs w:val="44"/>
        </w:rPr>
        <w:t>年原阳县事业单位公开</w:t>
      </w:r>
      <w:r>
        <w:rPr>
          <w:rFonts w:hint="eastAsia" w:ascii="黑体" w:hAnsi="黑体" w:eastAsia="黑体" w:cs="黑体"/>
          <w:spacing w:val="-6"/>
          <w:sz w:val="44"/>
          <w:szCs w:val="44"/>
          <w:lang w:eastAsia="zh-CN"/>
        </w:rPr>
        <w:t>引进高层次和急需紧缺人才</w:t>
      </w:r>
      <w:r>
        <w:rPr>
          <w:rFonts w:hint="eastAsia" w:ascii="黑体" w:hAnsi="黑体" w:eastAsia="黑体" w:cs="黑体"/>
          <w:spacing w:val="-6"/>
          <w:sz w:val="44"/>
          <w:szCs w:val="44"/>
        </w:rPr>
        <w:t>面试</w:t>
      </w:r>
      <w:r>
        <w:rPr>
          <w:rFonts w:hint="eastAsia" w:ascii="黑体" w:hAnsi="黑体" w:eastAsia="黑体" w:cs="黑体"/>
          <w:spacing w:val="-6"/>
          <w:sz w:val="44"/>
          <w:szCs w:val="44"/>
          <w:lang w:eastAsia="zh-CN"/>
        </w:rPr>
        <w:t>微课使用教材版本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B001岗位（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高中物理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物理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（国家教材委员会专家委员会审核通过2019）必修第一册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B002、B008岗位（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高中生物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生物学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（国家教材委员会专家委员会审核通过2019）（分子与细胞）必修1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B003、B009岗位（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高中英语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）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英语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（国家教材委员会专家委员会审核通过2019）必修第一册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B004、B006岗位（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高中政治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）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人民教育出版社《思想政治》（国家教材委员会审核通过2019）必修1（中国特色社会主义）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B005岗位（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高中语文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语文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（国家教材委员会审核通过2019）必修上册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B007岗位（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体育）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体育与健康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（国家教材委员会专家委员会审核通过2019）必修全一册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B011岗位（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高中化学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化学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（国家教材委员会专家委员会审核通过2019）必修第一册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B012岗位（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高中地理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地理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（国家教材委员会专家委员会审核通过2019）必修第一册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B013岗位（教师进修学校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数学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数学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教育部审定2022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义务教育教科书 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三年级上册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B014岗位（教师进修学校英语）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英语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教育部审定2012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义务教育教科书 （三年级起点）三年级上册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B015岗位 （职业教育中心食品科学与工程类）：电子工业出版社（河南省职业技术教育教学研究室编） 《烹饪营养与卫生》（第二版）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B016岗位（职业教育中心农业类）：高等教育出版社 《农作物生产技术》（第二版）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B017岗位（职业教育中心林学类）：高等教育出版社（河南省职业技术教育教学研究室编）《园艺植物生产技术》（模块一：果树生产技术）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MmJlNDA1ZDMzMTcwZTRmY2Y4ZmRmMjMxNGRlM2QifQ=="/>
  </w:docVars>
  <w:rsids>
    <w:rsidRoot w:val="00000000"/>
    <w:rsid w:val="07E6312F"/>
    <w:rsid w:val="1F42498B"/>
    <w:rsid w:val="271F76AA"/>
    <w:rsid w:val="294E4B5F"/>
    <w:rsid w:val="4DCF7605"/>
    <w:rsid w:val="4F9D18F3"/>
    <w:rsid w:val="57282C84"/>
    <w:rsid w:val="57EA7860"/>
    <w:rsid w:val="57F93CCA"/>
    <w:rsid w:val="611C2FBF"/>
    <w:rsid w:val="6C6738CC"/>
    <w:rsid w:val="6E171758"/>
    <w:rsid w:val="7A7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2023-07-22T02:46:00Z</dcterms:created>
  <dc:creator>Administrator</dc:creator>
  <cp:lastModifiedBy>THTFPC</cp:lastModifiedBy>
  <cp:lastPrinted>2023-08-07T09:12:04Z</cp:lastPrinted>
  <dcterms:modified xsi:type="dcterms:W3CDTF">2023-08-07T09:13:44Z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7E4E0F77BAAB4199AEE3FC23FC05B9A9_12</vt:lpwstr>
  </property>
</Properties>
</file>