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安徽金桥投资集团有限公司公开引进人才岗位需求表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01"/>
        <w:gridCol w:w="1843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年龄要求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学历要求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专业要求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/>
                <w:b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副总经理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40周岁以内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会计专业或金融专业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应具备中级及以上金融专业技术职称并持中国证券投资基金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从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业证和国际金融理财师证、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具有金融机构10年及以上工作经历且担任过综合支行行长及以上职位（含支行行长）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GUzMGE3YTQwMzBiY2Y3ZmY0M2U0MGRmYzM0Y2IifQ=="/>
  </w:docVars>
  <w:rsids>
    <w:rsidRoot w:val="2EED5E06"/>
    <w:rsid w:val="2EED5E06"/>
    <w:rsid w:val="4BC7440D"/>
    <w:rsid w:val="4D997E9D"/>
    <w:rsid w:val="543331D5"/>
    <w:rsid w:val="751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2023-07-25T01:36:00Z</dcterms:created>
  <dc:creator>山药不再跳跃</dc:creator>
  <cp:lastModifiedBy>山药不再跳跃</cp:lastModifiedBy>
  <dcterms:modified xsi:type="dcterms:W3CDTF">2023-07-25T01:37:11Z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16A5B1A2D34E4970A1F5704CD7F1E831_11</vt:lpwstr>
  </property>
</Properties>
</file>