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pacing w:val="12"/>
          <w:sz w:val="28"/>
          <w:szCs w:val="28"/>
        </w:rPr>
      </w:pPr>
      <w:r>
        <w:rPr>
          <w:rFonts w:hint="eastAsia" w:ascii="黑体" w:hAnsi="黑体" w:eastAsia="黑体" w:cs="黑体"/>
          <w:spacing w:val="12"/>
          <w:sz w:val="28"/>
          <w:szCs w:val="28"/>
        </w:rPr>
        <w:t>附表1</w:t>
      </w:r>
    </w:p>
    <w:tbl>
      <w:tblPr>
        <w:tblStyle w:val="5"/>
        <w:tblW w:w="5638" w:type="pct"/>
        <w:tblInd w:w="-978" w:type="dxa"/>
        <w:tblLayout w:type="fixed"/>
        <w:tblCellMar>
          <w:top w:w="0" w:type="dxa"/>
          <w:left w:w="108" w:type="dxa"/>
          <w:bottom w:w="0" w:type="dxa"/>
          <w:right w:w="108" w:type="dxa"/>
        </w:tblCellMar>
      </w:tblPr>
      <w:tblGrid>
        <w:gridCol w:w="464"/>
        <w:gridCol w:w="668"/>
        <w:gridCol w:w="777"/>
        <w:gridCol w:w="742"/>
        <w:gridCol w:w="770"/>
        <w:gridCol w:w="770"/>
        <w:gridCol w:w="1588"/>
        <w:gridCol w:w="5153"/>
        <w:gridCol w:w="3353"/>
        <w:gridCol w:w="965"/>
        <w:gridCol w:w="732"/>
      </w:tblGrid>
      <w:tr>
        <w:tblPrEx>
          <w:tblCellMar>
            <w:top w:w="0" w:type="dxa"/>
            <w:left w:w="108" w:type="dxa"/>
            <w:bottom w:w="0" w:type="dxa"/>
            <w:right w:w="108" w:type="dxa"/>
          </w:tblCellMar>
        </w:tblPrEx>
        <w:trPr>
          <w:trHeight w:val="480" w:hRule="atLeast"/>
        </w:trPr>
        <w:tc>
          <w:tcPr>
            <w:tcW w:w="5000" w:type="pct"/>
            <w:gridSpan w:val="11"/>
            <w:tcBorders>
              <w:top w:val="nil"/>
              <w:left w:val="nil"/>
              <w:bottom w:val="nil"/>
              <w:right w:val="nil"/>
            </w:tcBorders>
            <w:noWrap w:val="0"/>
            <w:vAlign w:val="center"/>
          </w:tcPr>
          <w:p>
            <w:pPr>
              <w:widowControl/>
              <w:spacing w:line="360" w:lineRule="exact"/>
              <w:jc w:val="center"/>
              <w:textAlignment w:val="center"/>
              <w:rPr>
                <w:rFonts w:ascii="方正小标宋简体" w:hAnsi="方正小标宋简体" w:eastAsia="方正小标宋简体" w:cs="方正小标宋简体"/>
                <w:color w:val="000000"/>
                <w:sz w:val="28"/>
                <w:szCs w:val="28"/>
              </w:rPr>
            </w:pPr>
            <w:bookmarkStart w:id="0" w:name="_GoBack"/>
            <w:r>
              <w:rPr>
                <w:rFonts w:hint="eastAsia" w:ascii="方正小标宋简体" w:hAnsi="方正小标宋简体" w:eastAsia="方正小标宋简体" w:cs="方正小标宋简体"/>
                <w:sz w:val="36"/>
                <w:szCs w:val="36"/>
              </w:rPr>
              <w:t>石阡县2023年“特岗计划”教师招聘岗位需求表</w:t>
            </w:r>
            <w:bookmarkEnd w:id="0"/>
          </w:p>
        </w:tc>
      </w:tr>
      <w:tr>
        <w:tblPrEx>
          <w:tblCellMar>
            <w:top w:w="0" w:type="dxa"/>
            <w:left w:w="108" w:type="dxa"/>
            <w:bottom w:w="0" w:type="dxa"/>
            <w:right w:w="108" w:type="dxa"/>
          </w:tblCellMar>
        </w:tblPrEx>
        <w:trPr>
          <w:trHeight w:val="288" w:hRule="atLeast"/>
        </w:trPr>
        <w:tc>
          <w:tcPr>
            <w:tcW w:w="14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学段</w:t>
            </w: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学科</w:t>
            </w:r>
          </w:p>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岗位</w:t>
            </w:r>
          </w:p>
        </w:tc>
        <w:tc>
          <w:tcPr>
            <w:tcW w:w="23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招聘职数</w:t>
            </w:r>
          </w:p>
        </w:tc>
        <w:tc>
          <w:tcPr>
            <w:tcW w:w="24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学历</w:t>
            </w:r>
          </w:p>
        </w:tc>
        <w:tc>
          <w:tcPr>
            <w:tcW w:w="24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学位</w:t>
            </w:r>
          </w:p>
        </w:tc>
        <w:tc>
          <w:tcPr>
            <w:tcW w:w="3158"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专业要求</w:t>
            </w: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其他资格条  件</w:t>
            </w:r>
          </w:p>
        </w:tc>
        <w:tc>
          <w:tcPr>
            <w:tcW w:w="22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备注</w:t>
            </w:r>
          </w:p>
        </w:tc>
      </w:tr>
      <w:tr>
        <w:tblPrEx>
          <w:tblCellMar>
            <w:top w:w="0" w:type="dxa"/>
            <w:left w:w="108" w:type="dxa"/>
            <w:bottom w:w="0" w:type="dxa"/>
            <w:right w:w="108" w:type="dxa"/>
          </w:tblCellMar>
        </w:tblPrEx>
        <w:trPr>
          <w:trHeight w:val="328" w:hRule="atLeast"/>
        </w:trPr>
        <w:tc>
          <w:tcPr>
            <w:tcW w:w="14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b/>
                <w:bCs/>
                <w:color w:val="000000"/>
                <w:sz w:val="20"/>
                <w:szCs w:val="20"/>
              </w:rPr>
            </w:pP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b/>
                <w:bCs/>
                <w:color w:val="000000"/>
                <w:sz w:val="20"/>
                <w:szCs w:val="20"/>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b/>
                <w:bCs/>
                <w:color w:val="000000"/>
                <w:sz w:val="20"/>
                <w:szCs w:val="20"/>
              </w:rPr>
            </w:pPr>
          </w:p>
        </w:tc>
        <w:tc>
          <w:tcPr>
            <w:tcW w:w="23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b/>
                <w:bCs/>
                <w:color w:val="000000"/>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b/>
                <w:bCs/>
                <w:color w:val="000000"/>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b/>
                <w:bCs/>
                <w:color w:val="000000"/>
                <w:sz w:val="20"/>
                <w:szCs w:val="20"/>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专科</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本科</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研究生</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宋体"/>
                <w:b/>
                <w:bCs/>
                <w:color w:val="000000"/>
                <w:sz w:val="20"/>
                <w:szCs w:val="20"/>
              </w:rPr>
            </w:pPr>
          </w:p>
        </w:tc>
        <w:tc>
          <w:tcPr>
            <w:tcW w:w="22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宋体"/>
                <w:b/>
                <w:bCs/>
                <w:color w:val="000000"/>
                <w:sz w:val="20"/>
                <w:szCs w:val="20"/>
              </w:rPr>
            </w:pPr>
          </w:p>
        </w:tc>
      </w:tr>
      <w:tr>
        <w:tblPrEx>
          <w:tblCellMar>
            <w:top w:w="0" w:type="dxa"/>
            <w:left w:w="108" w:type="dxa"/>
            <w:bottom w:w="0" w:type="dxa"/>
            <w:right w:w="108" w:type="dxa"/>
          </w:tblCellMar>
        </w:tblPrEx>
        <w:trPr>
          <w:trHeight w:val="447"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初中</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语文</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333333"/>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汉语言文学，汉语言，汉语国际教育，古典文献学，应用语言学，秘书学，中国语言与文化</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中国语言文学（一级学科），汉语国际教育，学科教学（语文）</w:t>
            </w: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持与报考学科一致的教师资格证书，其中，小学全科教师资格证的可报考小学全部岗位，舞蹈教师资格证的可报考音乐岗位。</w:t>
            </w: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02"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2</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数学</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333333"/>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数学与应用数学，信息与计算科学，数理基础科学，数据计算及应用</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数学（一级学科），学科教学（数学）</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01"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3</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物理</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333333"/>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物理学，应用物理学，核物理，声学，系统科学与工程</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物理学（一级学科），学科教学（物理）</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92D050"/>
                <w:szCs w:val="21"/>
              </w:rPr>
            </w:pPr>
          </w:p>
        </w:tc>
      </w:tr>
      <w:tr>
        <w:tblPrEx>
          <w:tblCellMar>
            <w:top w:w="0" w:type="dxa"/>
            <w:left w:w="108" w:type="dxa"/>
            <w:bottom w:w="0" w:type="dxa"/>
            <w:right w:w="108" w:type="dxa"/>
          </w:tblCellMar>
        </w:tblPrEx>
        <w:trPr>
          <w:trHeight w:val="322"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4</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生物</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生物科学，生物技术，生物信息学，生态学，整合科学</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生物学（一级学科），学科教学（生物）</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430"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5</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地理</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地理科学，自然地理与资源环境，人文地理与城乡规划，地理信息科学</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地理学（一级学科），学科教学（地理）</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470"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6</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道德与法治</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2</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政治学与行政学，国际政治，政治学、经济学与哲学，科学社会主义，中国共产党历史，思想政治教育，马克思主义理论</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政治学（一级学科），马克思主义理论（一级学科），学科教学（思政）</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92D050"/>
                <w:szCs w:val="21"/>
              </w:rPr>
            </w:pPr>
          </w:p>
        </w:tc>
      </w:tr>
      <w:tr>
        <w:tblPrEx>
          <w:tblCellMar>
            <w:top w:w="0" w:type="dxa"/>
            <w:left w:w="108" w:type="dxa"/>
            <w:bottom w:w="0" w:type="dxa"/>
            <w:right w:w="108" w:type="dxa"/>
          </w:tblCellMar>
        </w:tblPrEx>
        <w:trPr>
          <w:trHeight w:val="439"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7</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本科及以上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学士及以上</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体育教育，运动训练，社会体育指导与管理，武术与民族传统体育，休闲体育，体能训练</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体育学（一级学科），体育教学，运动训练，竞赛组织，社会体育指导，学科教学（体育）</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FF0000"/>
                <w:szCs w:val="21"/>
              </w:rPr>
            </w:pPr>
          </w:p>
        </w:tc>
      </w:tr>
      <w:tr>
        <w:tblPrEx>
          <w:tblCellMar>
            <w:top w:w="0" w:type="dxa"/>
            <w:left w:w="108" w:type="dxa"/>
            <w:bottom w:w="0" w:type="dxa"/>
            <w:right w:w="108" w:type="dxa"/>
          </w:tblCellMar>
        </w:tblPrEx>
        <w:trPr>
          <w:trHeight w:val="481"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8</w:t>
            </w:r>
          </w:p>
        </w:tc>
        <w:tc>
          <w:tcPr>
            <w:tcW w:w="20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小学</w:t>
            </w: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语文</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8</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小学教育，小学语文教育，特殊教育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汉语言文学，汉语言，汉语国际教育，古典文献学，应用语言学，秘书学，中国语言与文化，教育学，小学教育，特殊教育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中国语言文学（一级学科），汉语国际教育，学科教学（语文），小学教育，特殊教育</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92D050"/>
                <w:szCs w:val="21"/>
              </w:rPr>
            </w:pPr>
          </w:p>
        </w:tc>
      </w:tr>
      <w:tr>
        <w:tblPrEx>
          <w:tblCellMar>
            <w:top w:w="0" w:type="dxa"/>
            <w:left w:w="108" w:type="dxa"/>
            <w:bottom w:w="0" w:type="dxa"/>
            <w:right w:w="108" w:type="dxa"/>
          </w:tblCellMar>
        </w:tblPrEx>
        <w:trPr>
          <w:trHeight w:val="521"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9</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数学</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8</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333333"/>
                <w:sz w:val="18"/>
                <w:szCs w:val="18"/>
              </w:rPr>
            </w:pPr>
            <w:r>
              <w:rPr>
                <w:rFonts w:hint="eastAsia" w:ascii="宋体" w:hAnsi="宋体" w:eastAsia="宋体" w:cs="仿宋"/>
                <w:color w:val="333333"/>
                <w:kern w:val="0"/>
                <w:sz w:val="18"/>
                <w:szCs w:val="18"/>
                <w:lang w:bidi="ar"/>
              </w:rPr>
              <w:t>小学教育，小学数学教育，特殊教育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数学与应用数学，信息与计算科学，数理基础科学，数据计算及应用，教育学，小学教育，特殊教育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数学（一级学科），学科教学（数学），小学教育，特殊教育</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92D050"/>
                <w:szCs w:val="21"/>
              </w:rPr>
            </w:pPr>
          </w:p>
        </w:tc>
      </w:tr>
      <w:tr>
        <w:tblPrEx>
          <w:tblCellMar>
            <w:top w:w="0" w:type="dxa"/>
            <w:left w:w="108" w:type="dxa"/>
            <w:bottom w:w="0" w:type="dxa"/>
            <w:right w:w="108" w:type="dxa"/>
          </w:tblCellMar>
        </w:tblPrEx>
        <w:trPr>
          <w:trHeight w:val="414"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10</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英语</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4</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小学教育，小学英语教育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英语，商务英语，小学教育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英语语言文学，学科教学（英语）</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92D050"/>
                <w:szCs w:val="21"/>
              </w:rPr>
            </w:pPr>
          </w:p>
        </w:tc>
      </w:tr>
      <w:tr>
        <w:tblPrEx>
          <w:tblCellMar>
            <w:top w:w="0" w:type="dxa"/>
            <w:left w:w="108" w:type="dxa"/>
            <w:bottom w:w="0" w:type="dxa"/>
            <w:right w:w="108" w:type="dxa"/>
          </w:tblCellMar>
        </w:tblPrEx>
        <w:trPr>
          <w:trHeight w:val="461"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11</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道德与法治</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小学道德与法治教育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政治学与行政学，国际政治，政治学、经济学与哲学，科学社会主义，中国共产党历史，思想政治教育，马克思主义理论</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政治学（一级学科），马克思主义理论（一级学科），学科教学（思政）</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55"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12</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音乐</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3</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音乐教育，舞蹈教育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音乐表演，音乐学，舞蹈表演，舞蹈学，舞蹈编导，舞蹈教育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音乐学，舞蹈学，学科教学（音乐）</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436"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13</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3</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体育教育，运动训练，社会体育指导与管理，武术与民族传统体育，休闲体育，体能训练</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体育学（一级学科），体育教学，运动训练，竞赛组织，社会体育指导，学科教学（体育）</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83"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14</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美术</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2</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美术教育，艺术教育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美术学，绘画，雕塑，摄影，书法学，中国画，漫画，艺术教育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美术学，艺术学，设计艺术学，学科教学（美术）</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67"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15</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科学</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小学科学教育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科学教育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科学与技术教育</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281"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16</w:t>
            </w:r>
          </w:p>
        </w:tc>
        <w:tc>
          <w:tcPr>
            <w:tcW w:w="20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心理</w:t>
            </w:r>
          </w:p>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健康</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2</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心理健康教育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心理学，应用心理学</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心理学（一级学科），心理健康教育</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11"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17</w:t>
            </w:r>
          </w:p>
        </w:tc>
        <w:tc>
          <w:tcPr>
            <w:tcW w:w="209" w:type="pct"/>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幼儿园</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幼教A</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15</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学前教育，早期教育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学前教育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学前教育，学前教育学</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vMerge w:val="restart"/>
            <w:tcBorders>
              <w:top w:val="single" w:color="000000" w:sz="4" w:space="0"/>
              <w:left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r>
              <w:rPr>
                <w:rFonts w:hint="eastAsia" w:ascii="宋体" w:hAnsi="宋体" w:eastAsia="宋体" w:cs="仿宋"/>
                <w:color w:val="000000"/>
                <w:szCs w:val="21"/>
              </w:rPr>
              <w:t>本县户籍或生源</w:t>
            </w:r>
          </w:p>
        </w:tc>
      </w:tr>
      <w:tr>
        <w:tblPrEx>
          <w:tblCellMar>
            <w:top w:w="0" w:type="dxa"/>
            <w:left w:w="108" w:type="dxa"/>
            <w:bottom w:w="0" w:type="dxa"/>
            <w:right w:w="108" w:type="dxa"/>
          </w:tblCellMar>
        </w:tblPrEx>
        <w:trPr>
          <w:trHeight w:val="298" w:hRule="atLeast"/>
        </w:trPr>
        <w:tc>
          <w:tcPr>
            <w:tcW w:w="14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18</w:t>
            </w:r>
          </w:p>
        </w:tc>
        <w:tc>
          <w:tcPr>
            <w:tcW w:w="209" w:type="pct"/>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仿宋"/>
                <w:color w:val="000000"/>
                <w:sz w:val="18"/>
                <w:szCs w:val="18"/>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幼教B</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15</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大专及以上</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学前教育，早期教育</w:t>
            </w: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学前教育</w:t>
            </w: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kern w:val="0"/>
                <w:sz w:val="18"/>
                <w:szCs w:val="18"/>
                <w:lang w:bidi="ar"/>
              </w:rPr>
              <w:t>学前教育，学前教育学</w:t>
            </w: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仿宋"/>
                <w:color w:val="000000"/>
                <w:sz w:val="18"/>
                <w:szCs w:val="18"/>
              </w:rPr>
            </w:pPr>
          </w:p>
        </w:tc>
        <w:tc>
          <w:tcPr>
            <w:tcW w:w="229" w:type="pct"/>
            <w:vMerge w:val="continue"/>
            <w:tcBorders>
              <w:left w:val="single" w:color="000000" w:sz="4" w:space="0"/>
              <w:bottom w:val="single" w:color="000000" w:sz="4" w:space="0"/>
              <w:right w:val="single" w:color="000000" w:sz="4" w:space="0"/>
            </w:tcBorders>
            <w:noWrap w:val="0"/>
            <w:vAlign w:val="center"/>
          </w:tcPr>
          <w:p>
            <w:pPr>
              <w:widowControl/>
              <w:spacing w:line="440" w:lineRule="exact"/>
              <w:rPr>
                <w:rFonts w:hint="eastAsia" w:ascii="宋体" w:hAnsi="宋体" w:eastAsia="宋体" w:cs="仿宋"/>
                <w:color w:val="000000"/>
                <w:szCs w:val="21"/>
              </w:rPr>
            </w:pPr>
          </w:p>
        </w:tc>
      </w:tr>
      <w:tr>
        <w:tblPrEx>
          <w:tblCellMar>
            <w:top w:w="0" w:type="dxa"/>
            <w:left w:w="108" w:type="dxa"/>
            <w:bottom w:w="0" w:type="dxa"/>
            <w:right w:w="108" w:type="dxa"/>
          </w:tblCellMar>
        </w:tblPrEx>
        <w:trPr>
          <w:trHeight w:val="301" w:hRule="atLeast"/>
        </w:trPr>
        <w:tc>
          <w:tcPr>
            <w:tcW w:w="597"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sz w:val="18"/>
                <w:szCs w:val="18"/>
              </w:rPr>
            </w:pP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sz w:val="18"/>
                <w:szCs w:val="18"/>
              </w:rPr>
            </w:pP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sz w:val="18"/>
                <w:szCs w:val="18"/>
              </w:rPr>
            </w:pPr>
          </w:p>
        </w:tc>
        <w:tc>
          <w:tcPr>
            <w:tcW w:w="161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sz w:val="18"/>
                <w:szCs w:val="18"/>
              </w:rPr>
            </w:pPr>
          </w:p>
        </w:tc>
        <w:tc>
          <w:tcPr>
            <w:tcW w:w="10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sz w:val="18"/>
                <w:szCs w:val="18"/>
              </w:rPr>
            </w:pP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宋体"/>
                <w:color w:val="000000"/>
                <w:sz w:val="18"/>
                <w:szCs w:val="18"/>
              </w:rPr>
            </w:pPr>
          </w:p>
        </w:tc>
        <w:tc>
          <w:tcPr>
            <w:tcW w:w="2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宋体"/>
                <w:color w:val="00000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63784485"/>
    <w:rsid w:val="6378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 w:type="paragraph" w:customStyle="1" w:styleId="8">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2023-06-23T12:05:00Z</dcterms:created>
  <dc:creator>8♥玥初</dc:creator>
  <cp:lastModifiedBy>8♥玥初</cp:lastModifiedBy>
  <dcterms:modified xsi:type="dcterms:W3CDTF">2023-06-23T12:08:56Z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8216D233BB00412FB162D930AAE5802F_11</vt:lpwstr>
  </property>
</Properties>
</file>