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spacing w:after="312" w:afterLines="100" w:line="520" w:lineRule="exact"/>
        <w:jc w:val="both"/>
        <w:textAlignment w:val="center"/>
        <w:rPr>
          <w:rFonts w:hint="default" w:ascii="方正小标宋_GBK" w:hAnsi="方正小标宋_GBK" w:eastAsia="方正小标宋_GBK" w:cs="方正小标宋_GBK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/>
        </w:rPr>
        <w:t>附件1：</w:t>
      </w:r>
    </w:p>
    <w:p>
      <w:pPr>
        <w:widowControl/>
        <w:suppressAutoHyphens/>
        <w:spacing w:after="312" w:afterLines="100" w:line="520" w:lineRule="exact"/>
        <w:jc w:val="center"/>
        <w:textAlignment w:val="center"/>
        <w:rPr>
          <w:rFonts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36"/>
        </w:rPr>
        <w:t>乐至县财政投资评审中心临聘人员招聘岗位表</w:t>
      </w:r>
    </w:p>
    <w:tbl>
      <w:tblPr>
        <w:tblStyle w:val="2"/>
        <w:tblW w:w="131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266"/>
        <w:gridCol w:w="973"/>
        <w:gridCol w:w="2518"/>
        <w:gridCol w:w="2386"/>
        <w:gridCol w:w="1846"/>
        <w:gridCol w:w="757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tblHeader/>
          <w:jc w:val="center"/>
        </w:trPr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  <w:t>岗位名称</w:t>
            </w:r>
          </w:p>
        </w:tc>
        <w:tc>
          <w:tcPr>
            <w:tcW w:w="48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369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955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905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  <w:t>专  业</w:t>
            </w:r>
          </w:p>
        </w:tc>
        <w:tc>
          <w:tcPr>
            <w:tcW w:w="70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  <w:t>职称/执业</w:t>
            </w:r>
          </w:p>
          <w:p>
            <w:pPr>
              <w:suppressAutoHyphens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  <w:t>资格</w:t>
            </w:r>
          </w:p>
        </w:tc>
        <w:tc>
          <w:tcPr>
            <w:tcW w:w="287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  <w:t>人数</w:t>
            </w:r>
          </w:p>
        </w:tc>
        <w:tc>
          <w:tcPr>
            <w:tcW w:w="537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评审工程师1</w:t>
            </w:r>
          </w:p>
        </w:tc>
        <w:tc>
          <w:tcPr>
            <w:tcW w:w="48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369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45</w:t>
            </w:r>
            <w:r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  <w:t>周岁以下</w:t>
            </w:r>
          </w:p>
        </w:tc>
        <w:tc>
          <w:tcPr>
            <w:tcW w:w="955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905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土木建筑工程</w:t>
            </w:r>
          </w:p>
        </w:tc>
        <w:tc>
          <w:tcPr>
            <w:tcW w:w="70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一级造价工程师、二级造价工程师</w:t>
            </w:r>
          </w:p>
        </w:tc>
        <w:tc>
          <w:tcPr>
            <w:tcW w:w="287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评审工程师2</w:t>
            </w:r>
          </w:p>
        </w:tc>
        <w:tc>
          <w:tcPr>
            <w:tcW w:w="48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369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45周岁以下</w:t>
            </w:r>
          </w:p>
        </w:tc>
        <w:tc>
          <w:tcPr>
            <w:tcW w:w="955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大学专科及以上学历</w:t>
            </w:r>
          </w:p>
        </w:tc>
        <w:tc>
          <w:tcPr>
            <w:tcW w:w="905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土木建筑工程、安装工程、交通运输工程、水利工程、工程造价等相关专业，有一级或二级造价师资格证的优先</w:t>
            </w:r>
          </w:p>
        </w:tc>
        <w:tc>
          <w:tcPr>
            <w:tcW w:w="70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87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pacing w:line="350" w:lineRule="exact"/>
              <w:jc w:val="center"/>
              <w:rPr>
                <w:rFonts w:ascii="Times New Roman" w:hAnsi="Times New Roman" w:eastAsia="方正仿宋简体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sz w:val="24"/>
                <w:szCs w:val="24"/>
              </w:rPr>
              <w:t>具有一定的投资评审或工程造价相关工作经验优先</w:t>
            </w:r>
          </w:p>
        </w:tc>
      </w:tr>
    </w:tbl>
    <w:p>
      <w:pPr>
        <w:suppressAutoHyphens/>
        <w:spacing w:before="156" w:beforeLines="50" w:after="156" w:afterLines="50" w:line="400" w:lineRule="exact"/>
        <w:jc w:val="both"/>
        <w:rPr>
          <w:rFonts w:ascii="方正小标宋_GBK" w:hAnsi="方正小标宋_GBK" w:eastAsia="方正小标宋_GBK" w:cs="方正小标宋_GBK"/>
          <w:sz w:val="38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2023-04-27T07:19:08Z</dcterms:created>
  <dc:creator>Administrator</dc:creator>
  <cp:lastModifiedBy>Administrator</cp:lastModifiedBy>
  <dcterms:modified xsi:type="dcterms:W3CDTF">2023-04-27T07:19:20Z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6C0E3C77BDAF4EFD863B8CFFF0DEA952</vt:lpwstr>
  </property>
</Properties>
</file>