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7845" w:rsidRDefault="00E22BDD">
      <w:pPr>
        <w:jc w:val="center"/>
        <w:rPr>
          <w:rFonts w:ascii="黑体" w:eastAsia="黑体" w:hAnsi="黑体" w:cs="黑体"/>
          <w:b/>
          <w:bCs/>
          <w:sz w:val="32"/>
          <w:szCs w:val="32"/>
        </w:rPr>
      </w:pPr>
      <w:bookmarkStart w:id="0" w:name="_GoBack"/>
      <w:bookmarkEnd w:id="0"/>
      <w:r>
        <w:rPr>
          <w:rFonts w:ascii="黑体" w:eastAsia="黑体" w:hAnsi="黑体" w:cs="黑体"/>
          <w:b/>
          <w:bCs/>
          <w:noProof/>
          <w:sz w:val="32"/>
          <w:szCs w:val="32"/>
        </w:rPr>
        <w:drawing>
          <wp:anchor distT="0" distB="0" distL="114300" distR="114300" simplePos="0" relativeHeight="251620864" behindDoc="0" locked="0" layoutInCell="1" allowOverlap="1">
            <wp:simplePos x="0" y="0"/>
            <wp:positionH relativeFrom="column">
              <wp:posOffset>-1046480</wp:posOffset>
            </wp:positionH>
            <wp:positionV relativeFrom="paragraph">
              <wp:posOffset>-1264920</wp:posOffset>
            </wp:positionV>
            <wp:extent cx="7988300" cy="11069955"/>
            <wp:effectExtent l="0" t="0" r="12700" b="17145"/>
            <wp:wrapNone/>
            <wp:docPr id="3" name="图片 3" descr="2019-1-7"/>
            <wp:cNvGraphicFramePr/>
            <a:graphic xmlns:a="http://schemas.openxmlformats.org/drawingml/2006/main">
              <a:graphicData uri="http://schemas.openxmlformats.org/drawingml/2006/picture">
                <pic:pic xmlns:pic="http://schemas.openxmlformats.org/drawingml/2006/picture">
                  <pic:nvPicPr>
                    <pic:cNvPr id="3" name="图片 3" descr="2019-1-7"/>
                    <pic:cNvPicPr/>
                  </pic:nvPicPr>
                  <pic:blipFill>
                    <a:blip r:embed="rId9"/>
                    <a:srcRect l="47649"/>
                    <a:stretch>
                      <a:fillRect/>
                    </a:stretch>
                  </pic:blipFill>
                  <pic:spPr>
                    <a:xfrm>
                      <a:off x="0" y="0"/>
                      <a:ext cx="7988300" cy="11069955"/>
                    </a:xfrm>
                    <a:prstGeom prst="rect">
                      <a:avLst/>
                    </a:prstGeom>
                  </pic:spPr>
                </pic:pic>
              </a:graphicData>
            </a:graphic>
          </wp:anchor>
        </w:drawing>
      </w:r>
      <w:r>
        <w:rPr>
          <w:rFonts w:ascii="黑体" w:eastAsia="黑体" w:hAnsi="黑体" w:cs="黑体"/>
          <w:b/>
          <w:bCs/>
          <w:sz w:val="32"/>
          <w:szCs w:val="32"/>
        </w:rPr>
        <w:br w:type="page"/>
      </w:r>
    </w:p>
    <w:p w:rsidR="00E37845" w:rsidRDefault="00E22BDD">
      <w:pPr>
        <w:pStyle w:val="TOC1"/>
        <w:tabs>
          <w:tab w:val="right" w:leader="dot" w:pos="8306"/>
        </w:tabs>
        <w:jc w:val="center"/>
        <w:rPr>
          <w:rFonts w:ascii="黑体" w:eastAsia="黑体" w:hAnsi="黑体" w:cs="黑体"/>
          <w:b/>
          <w:bCs/>
          <w:sz w:val="32"/>
          <w:szCs w:val="32"/>
        </w:rPr>
      </w:pPr>
      <w:r>
        <w:rPr>
          <w:rFonts w:ascii="黑体" w:eastAsia="黑体" w:hAnsi="黑体" w:cs="黑体"/>
          <w:b/>
          <w:bCs/>
          <w:sz w:val="32"/>
          <w:szCs w:val="32"/>
        </w:rPr>
        <w:lastRenderedPageBreak/>
        <w:t>目</w:t>
      </w:r>
      <w:r>
        <w:rPr>
          <w:rFonts w:ascii="黑体" w:eastAsia="黑体" w:hAnsi="黑体" w:cs="黑体" w:hint="eastAsia"/>
          <w:b/>
          <w:bCs/>
          <w:sz w:val="32"/>
          <w:szCs w:val="32"/>
        </w:rPr>
        <w:t xml:space="preserve">  </w:t>
      </w:r>
      <w:r>
        <w:rPr>
          <w:rFonts w:ascii="黑体" w:eastAsia="黑体" w:hAnsi="黑体" w:cs="黑体"/>
          <w:b/>
          <w:bCs/>
          <w:sz w:val="32"/>
          <w:szCs w:val="32"/>
        </w:rPr>
        <w:t>录</w:t>
      </w:r>
    </w:p>
    <w:p w:rsidR="00E37845" w:rsidRDefault="00E37845"/>
    <w:p w:rsidR="00E37845" w:rsidRDefault="00E22BDD">
      <w:pPr>
        <w:pStyle w:val="TOC1"/>
        <w:tabs>
          <w:tab w:val="right" w:leader="dot" w:pos="9015"/>
        </w:tabs>
        <w:jc w:val="center"/>
        <w:rPr>
          <w:rFonts w:ascii="方正小标宋简体" w:eastAsia="方正小标宋简体" w:hAnsi="方正小标宋简体" w:cs="方正小标宋简体"/>
          <w:sz w:val="24"/>
          <w:szCs w:val="24"/>
        </w:rPr>
      </w:pPr>
      <w:r>
        <w:rPr>
          <w:rFonts w:ascii="宋体" w:hAnsi="宋体" w:cs="宋体" w:hint="eastAsia"/>
          <w:kern w:val="0"/>
        </w:rPr>
        <w:fldChar w:fldCharType="begin"/>
      </w:r>
      <w:r>
        <w:rPr>
          <w:rFonts w:ascii="宋体" w:hAnsi="宋体" w:cs="宋体" w:hint="eastAsia"/>
          <w:kern w:val="0"/>
        </w:rPr>
        <w:instrText xml:space="preserve">TOC \o "1-3" \h \u </w:instrText>
      </w:r>
      <w:r>
        <w:rPr>
          <w:rFonts w:ascii="宋体" w:hAnsi="宋体" w:cs="宋体" w:hint="eastAsia"/>
          <w:kern w:val="0"/>
        </w:rPr>
        <w:fldChar w:fldCharType="separate"/>
      </w:r>
      <w:hyperlink w:anchor="_Toc21042" w:history="1">
        <w:r>
          <w:rPr>
            <w:rFonts w:ascii="方正小标宋简体" w:eastAsia="方正小标宋简体" w:hAnsi="方正小标宋简体" w:cs="方正小标宋简体" w:hint="eastAsia"/>
            <w:b/>
            <w:bCs/>
            <w:sz w:val="24"/>
            <w:szCs w:val="24"/>
          </w:rPr>
          <w:t>第一篇  学校基本简介</w:t>
        </w:r>
      </w:hyperlink>
    </w:p>
    <w:p w:rsidR="00E37845" w:rsidRDefault="001B499F">
      <w:pPr>
        <w:pStyle w:val="TOC1"/>
        <w:tabs>
          <w:tab w:val="right" w:leader="dot" w:pos="9015"/>
        </w:tabs>
        <w:rPr>
          <w:rFonts w:ascii="宋体" w:hAnsi="宋体" w:cs="宋体"/>
        </w:rPr>
      </w:pPr>
      <w:hyperlink w:anchor="_Toc28884" w:history="1">
        <w:r w:rsidR="00E22BDD">
          <w:rPr>
            <w:rFonts w:ascii="宋体" w:hAnsi="宋体" w:cs="宋体" w:hint="eastAsia"/>
          </w:rPr>
          <w:t>1.广州大学的简介概况和发展目标</w:t>
        </w:r>
        <w:r w:rsidR="00E22BDD">
          <w:rPr>
            <w:rFonts w:ascii="宋体" w:hAnsi="宋体" w:cs="宋体" w:hint="eastAsia"/>
          </w:rPr>
          <w:tab/>
        </w:r>
        <w:r w:rsidR="00E22BDD">
          <w:rPr>
            <w:rFonts w:ascii="宋体" w:hAnsi="宋体" w:cs="宋体" w:hint="eastAsia"/>
          </w:rPr>
          <w:fldChar w:fldCharType="begin"/>
        </w:r>
        <w:r w:rsidR="00E22BDD">
          <w:rPr>
            <w:rFonts w:ascii="宋体" w:hAnsi="宋体" w:cs="宋体" w:hint="eastAsia"/>
          </w:rPr>
          <w:instrText xml:space="preserve"> PAGEREF _Toc28884 </w:instrText>
        </w:r>
        <w:r w:rsidR="00E22BDD">
          <w:rPr>
            <w:rFonts w:ascii="宋体" w:hAnsi="宋体" w:cs="宋体" w:hint="eastAsia"/>
          </w:rPr>
          <w:fldChar w:fldCharType="separate"/>
        </w:r>
        <w:r w:rsidR="00E22BDD">
          <w:rPr>
            <w:rFonts w:ascii="宋体" w:hAnsi="宋体" w:cs="宋体" w:hint="eastAsia"/>
          </w:rPr>
          <w:t>1</w:t>
        </w:r>
        <w:r w:rsidR="00E22BDD">
          <w:rPr>
            <w:rFonts w:ascii="宋体" w:hAnsi="宋体" w:cs="宋体" w:hint="eastAsia"/>
          </w:rPr>
          <w:fldChar w:fldCharType="end"/>
        </w:r>
      </w:hyperlink>
    </w:p>
    <w:p w:rsidR="00E37845" w:rsidRDefault="001B499F">
      <w:pPr>
        <w:pStyle w:val="TOC2"/>
        <w:tabs>
          <w:tab w:val="right" w:leader="dot" w:pos="9015"/>
        </w:tabs>
        <w:rPr>
          <w:rFonts w:ascii="宋体" w:hAnsi="宋体" w:cs="宋体"/>
        </w:rPr>
      </w:pPr>
      <w:hyperlink w:anchor="_Toc3164" w:history="1">
        <w:r w:rsidR="00E22BDD">
          <w:rPr>
            <w:rFonts w:ascii="宋体" w:hAnsi="宋体" w:cs="宋体" w:hint="eastAsia"/>
          </w:rPr>
          <w:t>1.1学校简介概况</w:t>
        </w:r>
        <w:r w:rsidR="00E22BDD">
          <w:rPr>
            <w:rFonts w:ascii="宋体" w:hAnsi="宋体" w:cs="宋体" w:hint="eastAsia"/>
          </w:rPr>
          <w:tab/>
        </w:r>
        <w:r w:rsidR="00E22BDD">
          <w:rPr>
            <w:rFonts w:ascii="宋体" w:hAnsi="宋体" w:cs="宋体" w:hint="eastAsia"/>
          </w:rPr>
          <w:fldChar w:fldCharType="begin"/>
        </w:r>
        <w:r w:rsidR="00E22BDD">
          <w:rPr>
            <w:rFonts w:ascii="宋体" w:hAnsi="宋体" w:cs="宋体" w:hint="eastAsia"/>
          </w:rPr>
          <w:instrText xml:space="preserve"> PAGEREF _Toc3164 </w:instrText>
        </w:r>
        <w:r w:rsidR="00E22BDD">
          <w:rPr>
            <w:rFonts w:ascii="宋体" w:hAnsi="宋体" w:cs="宋体" w:hint="eastAsia"/>
          </w:rPr>
          <w:fldChar w:fldCharType="separate"/>
        </w:r>
        <w:r w:rsidR="00E22BDD">
          <w:rPr>
            <w:rFonts w:ascii="宋体" w:hAnsi="宋体" w:cs="宋体" w:hint="eastAsia"/>
          </w:rPr>
          <w:t>1</w:t>
        </w:r>
        <w:r w:rsidR="00E22BDD">
          <w:rPr>
            <w:rFonts w:ascii="宋体" w:hAnsi="宋体" w:cs="宋体" w:hint="eastAsia"/>
          </w:rPr>
          <w:fldChar w:fldCharType="end"/>
        </w:r>
      </w:hyperlink>
    </w:p>
    <w:p w:rsidR="00E37845" w:rsidRDefault="001B499F">
      <w:pPr>
        <w:pStyle w:val="TOC2"/>
        <w:tabs>
          <w:tab w:val="right" w:leader="dot" w:pos="9015"/>
        </w:tabs>
        <w:rPr>
          <w:rFonts w:ascii="宋体" w:hAnsi="宋体" w:cs="宋体"/>
        </w:rPr>
      </w:pPr>
      <w:hyperlink w:anchor="_Toc9583" w:history="1">
        <w:r w:rsidR="00E22BDD">
          <w:rPr>
            <w:rFonts w:ascii="宋体" w:hAnsi="宋体" w:cs="宋体" w:hint="eastAsia"/>
            <w:kern w:val="0"/>
          </w:rPr>
          <w:t>1.2发展目标</w:t>
        </w:r>
        <w:r w:rsidR="00E22BDD">
          <w:rPr>
            <w:rFonts w:ascii="宋体" w:hAnsi="宋体" w:cs="宋体" w:hint="eastAsia"/>
          </w:rPr>
          <w:tab/>
        </w:r>
        <w:r w:rsidR="00E22BDD">
          <w:rPr>
            <w:rFonts w:ascii="宋体" w:hAnsi="宋体" w:cs="宋体" w:hint="eastAsia"/>
          </w:rPr>
          <w:fldChar w:fldCharType="begin"/>
        </w:r>
        <w:r w:rsidR="00E22BDD">
          <w:rPr>
            <w:rFonts w:ascii="宋体" w:hAnsi="宋体" w:cs="宋体" w:hint="eastAsia"/>
          </w:rPr>
          <w:instrText xml:space="preserve"> PAGEREF _Toc9583 </w:instrText>
        </w:r>
        <w:r w:rsidR="00E22BDD">
          <w:rPr>
            <w:rFonts w:ascii="宋体" w:hAnsi="宋体" w:cs="宋体" w:hint="eastAsia"/>
          </w:rPr>
          <w:fldChar w:fldCharType="separate"/>
        </w:r>
        <w:r w:rsidR="00E22BDD">
          <w:rPr>
            <w:rFonts w:ascii="宋体" w:hAnsi="宋体" w:cs="宋体" w:hint="eastAsia"/>
          </w:rPr>
          <w:t>2</w:t>
        </w:r>
        <w:r w:rsidR="00E22BDD">
          <w:rPr>
            <w:rFonts w:ascii="宋体" w:hAnsi="宋体" w:cs="宋体" w:hint="eastAsia"/>
          </w:rPr>
          <w:fldChar w:fldCharType="end"/>
        </w:r>
      </w:hyperlink>
    </w:p>
    <w:p w:rsidR="00E37845" w:rsidRDefault="001B499F">
      <w:pPr>
        <w:pStyle w:val="TOC2"/>
        <w:tabs>
          <w:tab w:val="right" w:leader="dot" w:pos="9015"/>
        </w:tabs>
        <w:rPr>
          <w:rFonts w:ascii="宋体" w:hAnsi="宋体" w:cs="宋体"/>
        </w:rPr>
      </w:pPr>
      <w:hyperlink w:anchor="_Toc24927" w:history="1">
        <w:r w:rsidR="00E22BDD">
          <w:rPr>
            <w:rFonts w:ascii="宋体" w:hAnsi="宋体" w:cs="宋体" w:hint="eastAsia"/>
            <w:kern w:val="0"/>
          </w:rPr>
          <w:t>1.2.1发展定位</w:t>
        </w:r>
        <w:r w:rsidR="00E22BDD">
          <w:rPr>
            <w:rFonts w:ascii="宋体" w:hAnsi="宋体" w:cs="宋体" w:hint="eastAsia"/>
          </w:rPr>
          <w:tab/>
        </w:r>
        <w:r w:rsidR="00E22BDD">
          <w:rPr>
            <w:rFonts w:ascii="宋体" w:hAnsi="宋体" w:cs="宋体" w:hint="eastAsia"/>
          </w:rPr>
          <w:fldChar w:fldCharType="begin"/>
        </w:r>
        <w:r w:rsidR="00E22BDD">
          <w:rPr>
            <w:rFonts w:ascii="宋体" w:hAnsi="宋体" w:cs="宋体" w:hint="eastAsia"/>
          </w:rPr>
          <w:instrText xml:space="preserve"> PAGEREF _Toc24927 </w:instrText>
        </w:r>
        <w:r w:rsidR="00E22BDD">
          <w:rPr>
            <w:rFonts w:ascii="宋体" w:hAnsi="宋体" w:cs="宋体" w:hint="eastAsia"/>
          </w:rPr>
          <w:fldChar w:fldCharType="separate"/>
        </w:r>
        <w:r w:rsidR="00E22BDD">
          <w:rPr>
            <w:rFonts w:ascii="宋体" w:hAnsi="宋体" w:cs="宋体" w:hint="eastAsia"/>
          </w:rPr>
          <w:t>2</w:t>
        </w:r>
        <w:r w:rsidR="00E22BDD">
          <w:rPr>
            <w:rFonts w:ascii="宋体" w:hAnsi="宋体" w:cs="宋体" w:hint="eastAsia"/>
          </w:rPr>
          <w:fldChar w:fldCharType="end"/>
        </w:r>
      </w:hyperlink>
    </w:p>
    <w:p w:rsidR="00E37845" w:rsidRDefault="001B499F">
      <w:pPr>
        <w:pStyle w:val="TOC2"/>
        <w:tabs>
          <w:tab w:val="right" w:leader="dot" w:pos="9015"/>
        </w:tabs>
        <w:rPr>
          <w:rFonts w:ascii="宋体" w:hAnsi="宋体" w:cs="宋体"/>
        </w:rPr>
      </w:pPr>
      <w:hyperlink w:anchor="_Toc31106" w:history="1">
        <w:r w:rsidR="00E22BDD">
          <w:rPr>
            <w:rFonts w:ascii="宋体" w:hAnsi="宋体" w:cs="宋体" w:hint="eastAsia"/>
            <w:kern w:val="0"/>
          </w:rPr>
          <w:t>1.2.2中长期发展目标</w:t>
        </w:r>
        <w:r w:rsidR="00E22BDD">
          <w:rPr>
            <w:rFonts w:ascii="宋体" w:hAnsi="宋体" w:cs="宋体" w:hint="eastAsia"/>
          </w:rPr>
          <w:tab/>
        </w:r>
        <w:r w:rsidR="00E22BDD">
          <w:rPr>
            <w:rFonts w:ascii="宋体" w:hAnsi="宋体" w:cs="宋体" w:hint="eastAsia"/>
          </w:rPr>
          <w:fldChar w:fldCharType="begin"/>
        </w:r>
        <w:r w:rsidR="00E22BDD">
          <w:rPr>
            <w:rFonts w:ascii="宋体" w:hAnsi="宋体" w:cs="宋体" w:hint="eastAsia"/>
          </w:rPr>
          <w:instrText xml:space="preserve"> PAGEREF _Toc31106 </w:instrText>
        </w:r>
        <w:r w:rsidR="00E22BDD">
          <w:rPr>
            <w:rFonts w:ascii="宋体" w:hAnsi="宋体" w:cs="宋体" w:hint="eastAsia"/>
          </w:rPr>
          <w:fldChar w:fldCharType="separate"/>
        </w:r>
        <w:r w:rsidR="00E22BDD">
          <w:rPr>
            <w:rFonts w:ascii="宋体" w:hAnsi="宋体" w:cs="宋体" w:hint="eastAsia"/>
          </w:rPr>
          <w:t>2</w:t>
        </w:r>
        <w:r w:rsidR="00E22BDD">
          <w:rPr>
            <w:rFonts w:ascii="宋体" w:hAnsi="宋体" w:cs="宋体" w:hint="eastAsia"/>
          </w:rPr>
          <w:fldChar w:fldCharType="end"/>
        </w:r>
      </w:hyperlink>
    </w:p>
    <w:p w:rsidR="00E37845" w:rsidRDefault="001B499F">
      <w:pPr>
        <w:pStyle w:val="TOC1"/>
        <w:tabs>
          <w:tab w:val="right" w:leader="dot" w:pos="9015"/>
        </w:tabs>
        <w:rPr>
          <w:rFonts w:ascii="宋体" w:hAnsi="宋体" w:cs="宋体"/>
        </w:rPr>
      </w:pPr>
      <w:hyperlink w:anchor="_Toc26865" w:history="1">
        <w:r w:rsidR="00E22BDD">
          <w:rPr>
            <w:rFonts w:ascii="宋体" w:hAnsi="宋体" w:cs="宋体" w:hint="eastAsia"/>
          </w:rPr>
          <w:t>2.校训与校歌</w:t>
        </w:r>
        <w:r w:rsidR="00E22BDD">
          <w:rPr>
            <w:rFonts w:ascii="宋体" w:hAnsi="宋体" w:cs="宋体" w:hint="eastAsia"/>
          </w:rPr>
          <w:tab/>
        </w:r>
        <w:r w:rsidR="00E22BDD">
          <w:rPr>
            <w:rFonts w:ascii="宋体" w:hAnsi="宋体" w:cs="宋体" w:hint="eastAsia"/>
          </w:rPr>
          <w:fldChar w:fldCharType="begin"/>
        </w:r>
        <w:r w:rsidR="00E22BDD">
          <w:rPr>
            <w:rFonts w:ascii="宋体" w:hAnsi="宋体" w:cs="宋体" w:hint="eastAsia"/>
          </w:rPr>
          <w:instrText xml:space="preserve"> PAGEREF _Toc26865 </w:instrText>
        </w:r>
        <w:r w:rsidR="00E22BDD">
          <w:rPr>
            <w:rFonts w:ascii="宋体" w:hAnsi="宋体" w:cs="宋体" w:hint="eastAsia"/>
          </w:rPr>
          <w:fldChar w:fldCharType="separate"/>
        </w:r>
        <w:r w:rsidR="00E22BDD">
          <w:rPr>
            <w:rFonts w:ascii="宋体" w:hAnsi="宋体" w:cs="宋体" w:hint="eastAsia"/>
          </w:rPr>
          <w:t>3</w:t>
        </w:r>
        <w:r w:rsidR="00E22BDD">
          <w:rPr>
            <w:rFonts w:ascii="宋体" w:hAnsi="宋体" w:cs="宋体" w:hint="eastAsia"/>
          </w:rPr>
          <w:fldChar w:fldCharType="end"/>
        </w:r>
      </w:hyperlink>
    </w:p>
    <w:p w:rsidR="00E37845" w:rsidRDefault="001B499F">
      <w:pPr>
        <w:pStyle w:val="TOC2"/>
        <w:tabs>
          <w:tab w:val="right" w:leader="dot" w:pos="9015"/>
        </w:tabs>
        <w:rPr>
          <w:rFonts w:ascii="宋体" w:hAnsi="宋体" w:cs="宋体"/>
        </w:rPr>
      </w:pPr>
      <w:hyperlink w:anchor="_Toc24594" w:history="1">
        <w:r w:rsidR="00E22BDD">
          <w:rPr>
            <w:rFonts w:ascii="宋体" w:hAnsi="宋体" w:cs="宋体" w:hint="eastAsia"/>
            <w:kern w:val="0"/>
          </w:rPr>
          <w:t>2.1校训：博学笃行，与时俱进</w:t>
        </w:r>
        <w:r w:rsidR="00E22BDD">
          <w:rPr>
            <w:rFonts w:ascii="宋体" w:hAnsi="宋体" w:cs="宋体" w:hint="eastAsia"/>
          </w:rPr>
          <w:tab/>
        </w:r>
        <w:r w:rsidR="00E22BDD">
          <w:rPr>
            <w:rFonts w:ascii="宋体" w:hAnsi="宋体" w:cs="宋体" w:hint="eastAsia"/>
          </w:rPr>
          <w:fldChar w:fldCharType="begin"/>
        </w:r>
        <w:r w:rsidR="00E22BDD">
          <w:rPr>
            <w:rFonts w:ascii="宋体" w:hAnsi="宋体" w:cs="宋体" w:hint="eastAsia"/>
          </w:rPr>
          <w:instrText xml:space="preserve"> PAGEREF _Toc24594 </w:instrText>
        </w:r>
        <w:r w:rsidR="00E22BDD">
          <w:rPr>
            <w:rFonts w:ascii="宋体" w:hAnsi="宋体" w:cs="宋体" w:hint="eastAsia"/>
          </w:rPr>
          <w:fldChar w:fldCharType="separate"/>
        </w:r>
        <w:r w:rsidR="00E22BDD">
          <w:rPr>
            <w:rFonts w:ascii="宋体" w:hAnsi="宋体" w:cs="宋体" w:hint="eastAsia"/>
          </w:rPr>
          <w:t>3</w:t>
        </w:r>
        <w:r w:rsidR="00E22BDD">
          <w:rPr>
            <w:rFonts w:ascii="宋体" w:hAnsi="宋体" w:cs="宋体" w:hint="eastAsia"/>
          </w:rPr>
          <w:fldChar w:fldCharType="end"/>
        </w:r>
      </w:hyperlink>
    </w:p>
    <w:p w:rsidR="00E37845" w:rsidRDefault="001B499F">
      <w:pPr>
        <w:pStyle w:val="TOC2"/>
        <w:tabs>
          <w:tab w:val="right" w:leader="dot" w:pos="9015"/>
        </w:tabs>
        <w:rPr>
          <w:rFonts w:ascii="宋体" w:hAnsi="宋体" w:cs="宋体"/>
        </w:rPr>
      </w:pPr>
      <w:hyperlink w:anchor="_Toc9113" w:history="1">
        <w:r w:rsidR="00E22BDD">
          <w:rPr>
            <w:rFonts w:ascii="宋体" w:hAnsi="宋体" w:cs="宋体" w:hint="eastAsia"/>
            <w:kern w:val="0"/>
          </w:rPr>
          <w:t>2.2校歌：</w:t>
        </w:r>
        <w:r w:rsidR="00E22BDD">
          <w:rPr>
            <w:rFonts w:ascii="宋体" w:hAnsi="宋体" w:cs="宋体" w:hint="eastAsia"/>
          </w:rPr>
          <w:tab/>
        </w:r>
        <w:r w:rsidR="00E22BDD">
          <w:rPr>
            <w:rFonts w:ascii="宋体" w:hAnsi="宋体" w:cs="宋体" w:hint="eastAsia"/>
          </w:rPr>
          <w:fldChar w:fldCharType="begin"/>
        </w:r>
        <w:r w:rsidR="00E22BDD">
          <w:rPr>
            <w:rFonts w:ascii="宋体" w:hAnsi="宋体" w:cs="宋体" w:hint="eastAsia"/>
          </w:rPr>
          <w:instrText xml:space="preserve"> PAGEREF _Toc9113 </w:instrText>
        </w:r>
        <w:r w:rsidR="00E22BDD">
          <w:rPr>
            <w:rFonts w:ascii="宋体" w:hAnsi="宋体" w:cs="宋体" w:hint="eastAsia"/>
          </w:rPr>
          <w:fldChar w:fldCharType="separate"/>
        </w:r>
        <w:r w:rsidR="00E22BDD">
          <w:rPr>
            <w:rFonts w:ascii="宋体" w:hAnsi="宋体" w:cs="宋体" w:hint="eastAsia"/>
          </w:rPr>
          <w:t>3</w:t>
        </w:r>
        <w:r w:rsidR="00E22BDD">
          <w:rPr>
            <w:rFonts w:ascii="宋体" w:hAnsi="宋体" w:cs="宋体" w:hint="eastAsia"/>
          </w:rPr>
          <w:fldChar w:fldCharType="end"/>
        </w:r>
      </w:hyperlink>
    </w:p>
    <w:p w:rsidR="00E37845" w:rsidRDefault="001B499F">
      <w:pPr>
        <w:pStyle w:val="TOC1"/>
        <w:tabs>
          <w:tab w:val="right" w:leader="dot" w:pos="9015"/>
        </w:tabs>
        <w:jc w:val="center"/>
        <w:rPr>
          <w:rFonts w:ascii="方正小标宋简体" w:eastAsia="方正小标宋简体" w:hAnsi="方正小标宋简体" w:cs="方正小标宋简体"/>
          <w:b/>
          <w:bCs/>
          <w:sz w:val="24"/>
          <w:szCs w:val="24"/>
        </w:rPr>
      </w:pPr>
      <w:hyperlink w:anchor="_Toc12981" w:history="1">
        <w:r w:rsidR="00E22BDD">
          <w:rPr>
            <w:rFonts w:ascii="方正小标宋简体" w:eastAsia="方正小标宋简体" w:hAnsi="方正小标宋简体" w:cs="方正小标宋简体" w:hint="eastAsia"/>
            <w:b/>
            <w:bCs/>
            <w:sz w:val="24"/>
            <w:szCs w:val="24"/>
          </w:rPr>
          <w:t>第二篇  人事工作</w:t>
        </w:r>
      </w:hyperlink>
    </w:p>
    <w:p w:rsidR="00E37845" w:rsidRDefault="001B499F">
      <w:pPr>
        <w:pStyle w:val="TOC1"/>
        <w:tabs>
          <w:tab w:val="right" w:leader="dot" w:pos="9015"/>
        </w:tabs>
        <w:rPr>
          <w:rFonts w:ascii="宋体" w:hAnsi="宋体" w:cs="宋体"/>
        </w:rPr>
      </w:pPr>
      <w:hyperlink w:anchor="_Toc15102" w:history="1">
        <w:r w:rsidR="00E22BDD">
          <w:rPr>
            <w:rFonts w:ascii="宋体" w:hAnsi="宋体" w:cs="宋体" w:hint="eastAsia"/>
          </w:rPr>
          <w:t>3.学术道德规范</w:t>
        </w:r>
        <w:r w:rsidR="00E22BDD">
          <w:rPr>
            <w:rFonts w:ascii="宋体" w:hAnsi="宋体" w:cs="宋体" w:hint="eastAsia"/>
          </w:rPr>
          <w:tab/>
        </w:r>
        <w:r w:rsidR="00E22BDD">
          <w:rPr>
            <w:rFonts w:ascii="宋体" w:hAnsi="宋体" w:cs="宋体" w:hint="eastAsia"/>
          </w:rPr>
          <w:fldChar w:fldCharType="begin"/>
        </w:r>
        <w:r w:rsidR="00E22BDD">
          <w:rPr>
            <w:rFonts w:ascii="宋体" w:hAnsi="宋体" w:cs="宋体" w:hint="eastAsia"/>
          </w:rPr>
          <w:instrText xml:space="preserve"> PAGEREF _Toc15102 </w:instrText>
        </w:r>
        <w:r w:rsidR="00E22BDD">
          <w:rPr>
            <w:rFonts w:ascii="宋体" w:hAnsi="宋体" w:cs="宋体" w:hint="eastAsia"/>
          </w:rPr>
          <w:fldChar w:fldCharType="separate"/>
        </w:r>
        <w:r w:rsidR="00E22BDD">
          <w:rPr>
            <w:rFonts w:ascii="宋体" w:hAnsi="宋体" w:cs="宋体" w:hint="eastAsia"/>
          </w:rPr>
          <w:t>4</w:t>
        </w:r>
        <w:r w:rsidR="00E22BDD">
          <w:rPr>
            <w:rFonts w:ascii="宋体" w:hAnsi="宋体" w:cs="宋体" w:hint="eastAsia"/>
          </w:rPr>
          <w:fldChar w:fldCharType="end"/>
        </w:r>
      </w:hyperlink>
    </w:p>
    <w:p w:rsidR="00E37845" w:rsidRDefault="001B499F">
      <w:pPr>
        <w:pStyle w:val="TOC2"/>
        <w:tabs>
          <w:tab w:val="right" w:leader="dot" w:pos="9015"/>
        </w:tabs>
        <w:rPr>
          <w:rFonts w:ascii="宋体" w:hAnsi="宋体" w:cs="宋体"/>
        </w:rPr>
      </w:pPr>
      <w:hyperlink w:anchor="_Toc31034" w:history="1">
        <w:r w:rsidR="00E22BDD">
          <w:rPr>
            <w:rFonts w:ascii="宋体" w:hAnsi="宋体" w:cs="宋体" w:hint="eastAsia"/>
            <w:kern w:val="0"/>
          </w:rPr>
          <w:t>3.1高等学校教师职业道德规范</w:t>
        </w:r>
        <w:r w:rsidR="00E22BDD">
          <w:rPr>
            <w:rFonts w:ascii="宋体" w:hAnsi="宋体" w:cs="宋体" w:hint="eastAsia"/>
          </w:rPr>
          <w:tab/>
        </w:r>
        <w:r w:rsidR="00E22BDD">
          <w:rPr>
            <w:rFonts w:ascii="宋体" w:hAnsi="宋体" w:cs="宋体" w:hint="eastAsia"/>
          </w:rPr>
          <w:fldChar w:fldCharType="begin"/>
        </w:r>
        <w:r w:rsidR="00E22BDD">
          <w:rPr>
            <w:rFonts w:ascii="宋体" w:hAnsi="宋体" w:cs="宋体" w:hint="eastAsia"/>
          </w:rPr>
          <w:instrText xml:space="preserve"> PAGEREF _Toc31034 </w:instrText>
        </w:r>
        <w:r w:rsidR="00E22BDD">
          <w:rPr>
            <w:rFonts w:ascii="宋体" w:hAnsi="宋体" w:cs="宋体" w:hint="eastAsia"/>
          </w:rPr>
          <w:fldChar w:fldCharType="separate"/>
        </w:r>
        <w:r w:rsidR="00E22BDD">
          <w:rPr>
            <w:rFonts w:ascii="宋体" w:hAnsi="宋体" w:cs="宋体" w:hint="eastAsia"/>
          </w:rPr>
          <w:t>4</w:t>
        </w:r>
        <w:r w:rsidR="00E22BDD">
          <w:rPr>
            <w:rFonts w:ascii="宋体" w:hAnsi="宋体" w:cs="宋体" w:hint="eastAsia"/>
          </w:rPr>
          <w:fldChar w:fldCharType="end"/>
        </w:r>
      </w:hyperlink>
    </w:p>
    <w:p w:rsidR="00E37845" w:rsidRDefault="001B499F">
      <w:pPr>
        <w:pStyle w:val="TOC2"/>
        <w:tabs>
          <w:tab w:val="right" w:leader="dot" w:pos="9015"/>
        </w:tabs>
        <w:rPr>
          <w:rFonts w:ascii="宋体" w:hAnsi="宋体" w:cs="宋体"/>
        </w:rPr>
      </w:pPr>
      <w:hyperlink w:anchor="_Toc4461" w:history="1">
        <w:r w:rsidR="00E22BDD">
          <w:rPr>
            <w:rFonts w:ascii="宋体" w:hAnsi="宋体" w:cs="宋体" w:hint="eastAsia"/>
            <w:kern w:val="0"/>
          </w:rPr>
          <w:t>3.2教育部关于建立健全高校师德建设长效机制的意见</w:t>
        </w:r>
        <w:r w:rsidR="00E22BDD">
          <w:rPr>
            <w:rFonts w:ascii="宋体" w:hAnsi="宋体" w:cs="宋体" w:hint="eastAsia"/>
          </w:rPr>
          <w:tab/>
        </w:r>
        <w:r w:rsidR="00E22BDD">
          <w:rPr>
            <w:rFonts w:ascii="宋体" w:hAnsi="宋体" w:cs="宋体" w:hint="eastAsia"/>
          </w:rPr>
          <w:fldChar w:fldCharType="begin"/>
        </w:r>
        <w:r w:rsidR="00E22BDD">
          <w:rPr>
            <w:rFonts w:ascii="宋体" w:hAnsi="宋体" w:cs="宋体" w:hint="eastAsia"/>
          </w:rPr>
          <w:instrText xml:space="preserve"> PAGEREF _Toc4461 </w:instrText>
        </w:r>
        <w:r w:rsidR="00E22BDD">
          <w:rPr>
            <w:rFonts w:ascii="宋体" w:hAnsi="宋体" w:cs="宋体" w:hint="eastAsia"/>
          </w:rPr>
          <w:fldChar w:fldCharType="separate"/>
        </w:r>
        <w:r w:rsidR="00E22BDD">
          <w:rPr>
            <w:rFonts w:ascii="宋体" w:hAnsi="宋体" w:cs="宋体" w:hint="eastAsia"/>
          </w:rPr>
          <w:t>5</w:t>
        </w:r>
        <w:r w:rsidR="00E22BDD">
          <w:rPr>
            <w:rFonts w:ascii="宋体" w:hAnsi="宋体" w:cs="宋体" w:hint="eastAsia"/>
          </w:rPr>
          <w:fldChar w:fldCharType="end"/>
        </w:r>
      </w:hyperlink>
    </w:p>
    <w:p w:rsidR="00E37845" w:rsidRDefault="001B499F">
      <w:pPr>
        <w:pStyle w:val="TOC2"/>
        <w:tabs>
          <w:tab w:val="right" w:leader="dot" w:pos="9015"/>
        </w:tabs>
        <w:rPr>
          <w:rFonts w:ascii="宋体" w:hAnsi="宋体" w:cs="宋体"/>
        </w:rPr>
      </w:pPr>
      <w:hyperlink w:anchor="_Toc1934" w:history="1">
        <w:r w:rsidR="00E22BDD">
          <w:rPr>
            <w:rFonts w:ascii="宋体" w:hAnsi="宋体" w:cs="宋体" w:hint="eastAsia"/>
            <w:kern w:val="0"/>
          </w:rPr>
          <w:t>3.3广州大学构建师德建设长效机制实施细则（试行）</w:t>
        </w:r>
        <w:r w:rsidR="00E22BDD">
          <w:rPr>
            <w:rFonts w:ascii="宋体" w:hAnsi="宋体" w:cs="宋体" w:hint="eastAsia"/>
          </w:rPr>
          <w:tab/>
        </w:r>
        <w:r w:rsidR="00E22BDD">
          <w:rPr>
            <w:rFonts w:ascii="宋体" w:hAnsi="宋体" w:cs="宋体" w:hint="eastAsia"/>
          </w:rPr>
          <w:fldChar w:fldCharType="begin"/>
        </w:r>
        <w:r w:rsidR="00E22BDD">
          <w:rPr>
            <w:rFonts w:ascii="宋体" w:hAnsi="宋体" w:cs="宋体" w:hint="eastAsia"/>
          </w:rPr>
          <w:instrText xml:space="preserve"> PAGEREF _Toc1934 </w:instrText>
        </w:r>
        <w:r w:rsidR="00E22BDD">
          <w:rPr>
            <w:rFonts w:ascii="宋体" w:hAnsi="宋体" w:cs="宋体" w:hint="eastAsia"/>
          </w:rPr>
          <w:fldChar w:fldCharType="separate"/>
        </w:r>
        <w:r w:rsidR="00E22BDD">
          <w:rPr>
            <w:rFonts w:ascii="宋体" w:hAnsi="宋体" w:cs="宋体" w:hint="eastAsia"/>
          </w:rPr>
          <w:t>8</w:t>
        </w:r>
        <w:r w:rsidR="00E22BDD">
          <w:rPr>
            <w:rFonts w:ascii="宋体" w:hAnsi="宋体" w:cs="宋体" w:hint="eastAsia"/>
          </w:rPr>
          <w:fldChar w:fldCharType="end"/>
        </w:r>
      </w:hyperlink>
    </w:p>
    <w:p w:rsidR="00E37845" w:rsidRDefault="001B499F">
      <w:pPr>
        <w:pStyle w:val="TOC1"/>
        <w:tabs>
          <w:tab w:val="right" w:leader="dot" w:pos="9015"/>
        </w:tabs>
        <w:rPr>
          <w:rFonts w:ascii="宋体" w:hAnsi="宋体" w:cs="宋体"/>
        </w:rPr>
      </w:pPr>
      <w:hyperlink w:anchor="_Toc683" w:history="1">
        <w:r w:rsidR="00E22BDD">
          <w:rPr>
            <w:rFonts w:ascii="宋体" w:hAnsi="宋体" w:cs="宋体" w:hint="eastAsia"/>
          </w:rPr>
          <w:t>4.人事工作</w:t>
        </w:r>
        <w:r w:rsidR="00E22BDD">
          <w:rPr>
            <w:rFonts w:ascii="宋体" w:hAnsi="宋体" w:cs="宋体" w:hint="eastAsia"/>
          </w:rPr>
          <w:tab/>
        </w:r>
        <w:r w:rsidR="00E22BDD">
          <w:rPr>
            <w:rFonts w:ascii="宋体" w:hAnsi="宋体" w:cs="宋体" w:hint="eastAsia"/>
          </w:rPr>
          <w:fldChar w:fldCharType="begin"/>
        </w:r>
        <w:r w:rsidR="00E22BDD">
          <w:rPr>
            <w:rFonts w:ascii="宋体" w:hAnsi="宋体" w:cs="宋体" w:hint="eastAsia"/>
          </w:rPr>
          <w:instrText xml:space="preserve"> PAGEREF _Toc683 </w:instrText>
        </w:r>
        <w:r w:rsidR="00E22BDD">
          <w:rPr>
            <w:rFonts w:ascii="宋体" w:hAnsi="宋体" w:cs="宋体" w:hint="eastAsia"/>
          </w:rPr>
          <w:fldChar w:fldCharType="separate"/>
        </w:r>
        <w:r w:rsidR="00E22BDD">
          <w:rPr>
            <w:rFonts w:ascii="宋体" w:hAnsi="宋体" w:cs="宋体" w:hint="eastAsia"/>
          </w:rPr>
          <w:t>14</w:t>
        </w:r>
        <w:r w:rsidR="00E22BDD">
          <w:rPr>
            <w:rFonts w:ascii="宋体" w:hAnsi="宋体" w:cs="宋体" w:hint="eastAsia"/>
          </w:rPr>
          <w:fldChar w:fldCharType="end"/>
        </w:r>
      </w:hyperlink>
    </w:p>
    <w:p w:rsidR="00E37845" w:rsidRDefault="001B499F">
      <w:pPr>
        <w:pStyle w:val="TOC2"/>
        <w:tabs>
          <w:tab w:val="right" w:leader="dot" w:pos="9015"/>
        </w:tabs>
        <w:rPr>
          <w:rFonts w:ascii="宋体" w:hAnsi="宋体" w:cs="宋体"/>
          <w:kern w:val="0"/>
        </w:rPr>
      </w:pPr>
      <w:hyperlink w:anchor="_Toc27588" w:history="1">
        <w:r w:rsidR="00E22BDD">
          <w:rPr>
            <w:rFonts w:ascii="宋体" w:hAnsi="宋体" w:cs="宋体" w:hint="eastAsia"/>
            <w:kern w:val="0"/>
          </w:rPr>
          <w:t>4.1人才引进</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_Toc27588 </w:instrText>
        </w:r>
        <w:r w:rsidR="00E22BDD">
          <w:rPr>
            <w:rFonts w:ascii="宋体" w:hAnsi="宋体" w:cs="宋体" w:hint="eastAsia"/>
            <w:kern w:val="0"/>
          </w:rPr>
          <w:fldChar w:fldCharType="separate"/>
        </w:r>
        <w:r w:rsidR="00E22BDD">
          <w:rPr>
            <w:rFonts w:ascii="宋体" w:hAnsi="宋体" w:cs="宋体" w:hint="eastAsia"/>
            <w:kern w:val="0"/>
          </w:rPr>
          <w:t>14</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136" w:history="1">
        <w:r w:rsidR="00E22BDD">
          <w:rPr>
            <w:rFonts w:ascii="宋体" w:hAnsi="宋体" w:cs="宋体" w:hint="eastAsia"/>
            <w:kern w:val="0"/>
          </w:rPr>
          <w:t>4.1.1人才引进政策</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_Toc2136 </w:instrText>
        </w:r>
        <w:r w:rsidR="00E22BDD">
          <w:rPr>
            <w:rFonts w:ascii="宋体" w:hAnsi="宋体" w:cs="宋体" w:hint="eastAsia"/>
            <w:kern w:val="0"/>
          </w:rPr>
          <w:fldChar w:fldCharType="separate"/>
        </w:r>
        <w:r w:rsidR="00E22BDD">
          <w:rPr>
            <w:rFonts w:ascii="宋体" w:hAnsi="宋体" w:cs="宋体" w:hint="eastAsia"/>
            <w:kern w:val="0"/>
          </w:rPr>
          <w:t>14</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3677" w:history="1">
        <w:r w:rsidR="00E22BDD">
          <w:rPr>
            <w:rFonts w:ascii="宋体" w:hAnsi="宋体" w:cs="宋体" w:hint="eastAsia"/>
            <w:kern w:val="0"/>
          </w:rPr>
          <w:t>4.1.1.1广州大学“百人计划”人才引进管理办法（详见广大〔2018〕170号）</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_Toc13677 </w:instrText>
        </w:r>
        <w:r w:rsidR="00E22BDD">
          <w:rPr>
            <w:rFonts w:ascii="宋体" w:hAnsi="宋体" w:cs="宋体" w:hint="eastAsia"/>
            <w:kern w:val="0"/>
          </w:rPr>
          <w:fldChar w:fldCharType="separate"/>
        </w:r>
        <w:r w:rsidR="00E22BDD">
          <w:rPr>
            <w:rFonts w:ascii="宋体" w:hAnsi="宋体" w:cs="宋体" w:hint="eastAsia"/>
            <w:kern w:val="0"/>
          </w:rPr>
          <w:t>14</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6773" w:history="1">
        <w:r w:rsidR="00E22BDD">
          <w:rPr>
            <w:rFonts w:ascii="宋体" w:hAnsi="宋体" w:cs="宋体" w:hint="eastAsia"/>
            <w:kern w:val="0"/>
          </w:rPr>
          <w:t>4.1.1.2广州大学新进讲师管理办法（详见广大〔2018〕171号）</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_Toc26773 </w:instrText>
        </w:r>
        <w:r w:rsidR="00E22BDD">
          <w:rPr>
            <w:rFonts w:ascii="宋体" w:hAnsi="宋体" w:cs="宋体" w:hint="eastAsia"/>
            <w:kern w:val="0"/>
          </w:rPr>
          <w:fldChar w:fldCharType="separate"/>
        </w:r>
        <w:r w:rsidR="00E22BDD">
          <w:rPr>
            <w:rFonts w:ascii="宋体" w:hAnsi="宋体" w:cs="宋体" w:hint="eastAsia"/>
            <w:kern w:val="0"/>
          </w:rPr>
          <w:t>15</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7008" w:history="1">
        <w:r w:rsidR="00E22BDD">
          <w:rPr>
            <w:rFonts w:ascii="宋体" w:hAnsi="宋体" w:cs="宋体" w:hint="eastAsia"/>
            <w:kern w:val="0"/>
          </w:rPr>
          <w:t>4.1.1.3广州大学全职特聘人才管理办法（详见广大〔2018〕95号）</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_Toc17008 </w:instrText>
        </w:r>
        <w:r w:rsidR="00E22BDD">
          <w:rPr>
            <w:rFonts w:ascii="宋体" w:hAnsi="宋体" w:cs="宋体" w:hint="eastAsia"/>
            <w:kern w:val="0"/>
          </w:rPr>
          <w:fldChar w:fldCharType="separate"/>
        </w:r>
        <w:r w:rsidR="00E22BDD">
          <w:rPr>
            <w:rFonts w:ascii="宋体" w:hAnsi="宋体" w:cs="宋体" w:hint="eastAsia"/>
            <w:kern w:val="0"/>
          </w:rPr>
          <w:t>16</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6250" w:history="1">
        <w:r w:rsidR="00E22BDD">
          <w:rPr>
            <w:rFonts w:ascii="宋体" w:hAnsi="宋体" w:cs="宋体" w:hint="eastAsia"/>
            <w:kern w:val="0"/>
          </w:rPr>
          <w:t>4.1.2引进人才流程图</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_Toc16250 </w:instrText>
        </w:r>
        <w:r w:rsidR="00E22BDD">
          <w:rPr>
            <w:rFonts w:ascii="宋体" w:hAnsi="宋体" w:cs="宋体" w:hint="eastAsia"/>
            <w:kern w:val="0"/>
          </w:rPr>
          <w:fldChar w:fldCharType="separate"/>
        </w:r>
        <w:r w:rsidR="00E22BDD">
          <w:rPr>
            <w:rFonts w:ascii="宋体" w:hAnsi="宋体" w:cs="宋体" w:hint="eastAsia"/>
            <w:kern w:val="0"/>
          </w:rPr>
          <w:t>18</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4959" w:history="1">
        <w:r w:rsidR="00E22BDD">
          <w:rPr>
            <w:rFonts w:ascii="宋体" w:hAnsi="宋体" w:cs="宋体" w:hint="eastAsia"/>
            <w:kern w:val="0"/>
          </w:rPr>
          <w:t>4.1.3引进人才签约前办事指引</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_Toc24959 </w:instrText>
        </w:r>
        <w:r w:rsidR="00E22BDD">
          <w:rPr>
            <w:rFonts w:ascii="宋体" w:hAnsi="宋体" w:cs="宋体" w:hint="eastAsia"/>
            <w:kern w:val="0"/>
          </w:rPr>
          <w:fldChar w:fldCharType="separate"/>
        </w:r>
        <w:r w:rsidR="00E22BDD">
          <w:rPr>
            <w:rFonts w:ascii="宋体" w:hAnsi="宋体" w:cs="宋体" w:hint="eastAsia"/>
            <w:kern w:val="0"/>
          </w:rPr>
          <w:t>19</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5670" w:history="1">
        <w:r w:rsidR="00E22BDD">
          <w:rPr>
            <w:rFonts w:ascii="宋体" w:hAnsi="宋体" w:cs="宋体" w:hint="eastAsia"/>
            <w:kern w:val="0"/>
          </w:rPr>
          <w:t>4.1.3入职报到流程</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_Toc15670 </w:instrText>
        </w:r>
        <w:r w:rsidR="00E22BDD">
          <w:rPr>
            <w:rFonts w:ascii="宋体" w:hAnsi="宋体" w:cs="宋体" w:hint="eastAsia"/>
            <w:kern w:val="0"/>
          </w:rPr>
          <w:fldChar w:fldCharType="separate"/>
        </w:r>
        <w:r w:rsidR="00E22BDD">
          <w:rPr>
            <w:rFonts w:ascii="宋体" w:hAnsi="宋体" w:cs="宋体" w:hint="eastAsia"/>
            <w:kern w:val="0"/>
          </w:rPr>
          <w:t>20</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0880" w:history="1">
        <w:r w:rsidR="00E22BDD">
          <w:rPr>
            <w:rFonts w:ascii="宋体" w:hAnsi="宋体" w:cs="宋体" w:hint="eastAsia"/>
            <w:kern w:val="0"/>
          </w:rPr>
          <w:t>4.1.3.1广州大学事业编制人员入职手续基本流程</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_Toc10880 </w:instrText>
        </w:r>
        <w:r w:rsidR="00E22BDD">
          <w:rPr>
            <w:rFonts w:ascii="宋体" w:hAnsi="宋体" w:cs="宋体" w:hint="eastAsia"/>
            <w:kern w:val="0"/>
          </w:rPr>
          <w:fldChar w:fldCharType="separate"/>
        </w:r>
        <w:r w:rsidR="00E22BDD">
          <w:rPr>
            <w:rFonts w:ascii="宋体" w:hAnsi="宋体" w:cs="宋体" w:hint="eastAsia"/>
            <w:kern w:val="0"/>
          </w:rPr>
          <w:t>20</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6274" w:history="1">
        <w:r w:rsidR="00E22BDD">
          <w:rPr>
            <w:rFonts w:ascii="宋体" w:hAnsi="宋体" w:cs="宋体" w:hint="eastAsia"/>
            <w:kern w:val="0"/>
          </w:rPr>
          <w:t>4.1.3.2广州大学非事业编制入职手续基本流程</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_Toc26274 </w:instrText>
        </w:r>
        <w:r w:rsidR="00E22BDD">
          <w:rPr>
            <w:rFonts w:ascii="宋体" w:hAnsi="宋体" w:cs="宋体" w:hint="eastAsia"/>
            <w:kern w:val="0"/>
          </w:rPr>
          <w:fldChar w:fldCharType="separate"/>
        </w:r>
        <w:r w:rsidR="00E22BDD">
          <w:rPr>
            <w:rFonts w:ascii="宋体" w:hAnsi="宋体" w:cs="宋体" w:hint="eastAsia"/>
            <w:kern w:val="0"/>
          </w:rPr>
          <w:t>32</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3148" w:history="1">
        <w:r w:rsidR="00E22BDD">
          <w:rPr>
            <w:rFonts w:ascii="宋体" w:hAnsi="宋体" w:cs="宋体" w:hint="eastAsia"/>
            <w:kern w:val="0"/>
          </w:rPr>
          <w:t>4.2广州大学专业技术职务评审管理办法（试行）（详见广大〔2018〕169号）</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_Toc23148 </w:instrText>
        </w:r>
        <w:r w:rsidR="00E22BDD">
          <w:rPr>
            <w:rFonts w:ascii="宋体" w:hAnsi="宋体" w:cs="宋体" w:hint="eastAsia"/>
            <w:kern w:val="0"/>
          </w:rPr>
          <w:fldChar w:fldCharType="separate"/>
        </w:r>
        <w:r w:rsidR="00E22BDD">
          <w:rPr>
            <w:rFonts w:ascii="宋体" w:hAnsi="宋体" w:cs="宋体" w:hint="eastAsia"/>
            <w:kern w:val="0"/>
          </w:rPr>
          <w:t>33</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0729" w:history="1">
        <w:r w:rsidR="00E22BDD">
          <w:rPr>
            <w:rFonts w:ascii="宋体" w:hAnsi="宋体" w:cs="宋体" w:hint="eastAsia"/>
            <w:kern w:val="0"/>
          </w:rPr>
          <w:t>4.2.1岗位职数、申报范围和评审分类</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_Toc10729 </w:instrText>
        </w:r>
        <w:r w:rsidR="00E22BDD">
          <w:rPr>
            <w:rFonts w:ascii="宋体" w:hAnsi="宋体" w:cs="宋体" w:hint="eastAsia"/>
            <w:kern w:val="0"/>
          </w:rPr>
          <w:fldChar w:fldCharType="separate"/>
        </w:r>
        <w:r w:rsidR="00E22BDD">
          <w:rPr>
            <w:rFonts w:ascii="宋体" w:hAnsi="宋体" w:cs="宋体" w:hint="eastAsia"/>
            <w:kern w:val="0"/>
          </w:rPr>
          <w:t>34</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7189" w:history="1">
        <w:r w:rsidR="00E22BDD">
          <w:rPr>
            <w:rFonts w:ascii="宋体" w:hAnsi="宋体" w:cs="宋体" w:hint="eastAsia"/>
            <w:kern w:val="0"/>
          </w:rPr>
          <w:t>4.2.2评聘程序</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_Toc7189 </w:instrText>
        </w:r>
        <w:r w:rsidR="00E22BDD">
          <w:rPr>
            <w:rFonts w:ascii="宋体" w:hAnsi="宋体" w:cs="宋体" w:hint="eastAsia"/>
            <w:kern w:val="0"/>
          </w:rPr>
          <w:fldChar w:fldCharType="separate"/>
        </w:r>
        <w:r w:rsidR="00E22BDD">
          <w:rPr>
            <w:rFonts w:ascii="宋体" w:hAnsi="宋体" w:cs="宋体" w:hint="eastAsia"/>
            <w:kern w:val="0"/>
          </w:rPr>
          <w:t>35</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5922" w:history="1">
        <w:r w:rsidR="00E22BDD">
          <w:rPr>
            <w:rFonts w:ascii="宋体" w:hAnsi="宋体" w:cs="宋体" w:hint="eastAsia"/>
            <w:kern w:val="0"/>
          </w:rPr>
          <w:t>4.3年度考核</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_Toc15922 </w:instrText>
        </w:r>
        <w:r w:rsidR="00E22BDD">
          <w:rPr>
            <w:rFonts w:ascii="宋体" w:hAnsi="宋体" w:cs="宋体" w:hint="eastAsia"/>
            <w:kern w:val="0"/>
          </w:rPr>
          <w:fldChar w:fldCharType="separate"/>
        </w:r>
        <w:r w:rsidR="00E22BDD">
          <w:rPr>
            <w:rFonts w:ascii="宋体" w:hAnsi="宋体" w:cs="宋体" w:hint="eastAsia"/>
            <w:kern w:val="0"/>
          </w:rPr>
          <w:t>35</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rPr>
      </w:pPr>
      <w:hyperlink w:anchor="_Toc16507" w:history="1">
        <w:r w:rsidR="00E22BDD">
          <w:rPr>
            <w:rFonts w:ascii="宋体" w:hAnsi="宋体" w:cs="宋体" w:hint="eastAsia"/>
          </w:rPr>
          <w:t>4.3.1考核内容</w:t>
        </w:r>
        <w:r w:rsidR="00E22BDD">
          <w:rPr>
            <w:rFonts w:ascii="宋体" w:hAnsi="宋体" w:cs="宋体" w:hint="eastAsia"/>
          </w:rPr>
          <w:tab/>
        </w:r>
        <w:r w:rsidR="00E22BDD">
          <w:rPr>
            <w:rFonts w:ascii="宋体" w:hAnsi="宋体" w:cs="宋体" w:hint="eastAsia"/>
          </w:rPr>
          <w:fldChar w:fldCharType="begin"/>
        </w:r>
        <w:r w:rsidR="00E22BDD">
          <w:rPr>
            <w:rFonts w:ascii="宋体" w:hAnsi="宋体" w:cs="宋体" w:hint="eastAsia"/>
          </w:rPr>
          <w:instrText xml:space="preserve"> PAGEREF _Toc16507 </w:instrText>
        </w:r>
        <w:r w:rsidR="00E22BDD">
          <w:rPr>
            <w:rFonts w:ascii="宋体" w:hAnsi="宋体" w:cs="宋体" w:hint="eastAsia"/>
          </w:rPr>
          <w:fldChar w:fldCharType="separate"/>
        </w:r>
        <w:r w:rsidR="00E22BDD">
          <w:rPr>
            <w:rFonts w:ascii="宋体" w:hAnsi="宋体" w:cs="宋体" w:hint="eastAsia"/>
          </w:rPr>
          <w:t>36</w:t>
        </w:r>
        <w:r w:rsidR="00E22BDD">
          <w:rPr>
            <w:rFonts w:ascii="宋体" w:hAnsi="宋体" w:cs="宋体" w:hint="eastAsia"/>
          </w:rPr>
          <w:fldChar w:fldCharType="end"/>
        </w:r>
      </w:hyperlink>
    </w:p>
    <w:p w:rsidR="00E37845" w:rsidRDefault="001B499F">
      <w:pPr>
        <w:pStyle w:val="TOC2"/>
        <w:tabs>
          <w:tab w:val="right" w:leader="dot" w:pos="9015"/>
        </w:tabs>
        <w:rPr>
          <w:rFonts w:ascii="宋体" w:hAnsi="宋体" w:cs="宋体"/>
          <w:kern w:val="0"/>
        </w:rPr>
      </w:pPr>
      <w:hyperlink w:anchor="_Toc7283" w:history="1">
        <w:r w:rsidR="00E22BDD">
          <w:rPr>
            <w:rFonts w:ascii="宋体" w:hAnsi="宋体" w:cs="宋体" w:hint="eastAsia"/>
            <w:kern w:val="0"/>
          </w:rPr>
          <w:t>4.3.2考核等次及名额</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_Toc7283 </w:instrText>
        </w:r>
        <w:r w:rsidR="00E22BDD">
          <w:rPr>
            <w:rFonts w:ascii="宋体" w:hAnsi="宋体" w:cs="宋体" w:hint="eastAsia"/>
            <w:kern w:val="0"/>
          </w:rPr>
          <w:fldChar w:fldCharType="separate"/>
        </w:r>
        <w:r w:rsidR="00E22BDD">
          <w:rPr>
            <w:rFonts w:ascii="宋体" w:hAnsi="宋体" w:cs="宋体" w:hint="eastAsia"/>
            <w:kern w:val="0"/>
          </w:rPr>
          <w:t>36</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8950" w:history="1">
        <w:r w:rsidR="00E22BDD">
          <w:rPr>
            <w:rFonts w:ascii="宋体" w:hAnsi="宋体" w:cs="宋体" w:hint="eastAsia"/>
            <w:kern w:val="0"/>
          </w:rPr>
          <w:t>4.3.3考核结果的使用</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_Toc18950 </w:instrText>
        </w:r>
        <w:r w:rsidR="00E22BDD">
          <w:rPr>
            <w:rFonts w:ascii="宋体" w:hAnsi="宋体" w:cs="宋体" w:hint="eastAsia"/>
            <w:kern w:val="0"/>
          </w:rPr>
          <w:fldChar w:fldCharType="separate"/>
        </w:r>
        <w:r w:rsidR="00E22BDD">
          <w:rPr>
            <w:rFonts w:ascii="宋体" w:hAnsi="宋体" w:cs="宋体" w:hint="eastAsia"/>
            <w:kern w:val="0"/>
          </w:rPr>
          <w:t>37</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0445" w:history="1">
        <w:r w:rsidR="00E22BDD">
          <w:rPr>
            <w:rFonts w:ascii="宋体" w:hAnsi="宋体" w:cs="宋体" w:hint="eastAsia"/>
            <w:kern w:val="0"/>
          </w:rPr>
          <w:t>4.4聘期考核</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_Toc20445 </w:instrText>
        </w:r>
        <w:r w:rsidR="00E22BDD">
          <w:rPr>
            <w:rFonts w:ascii="宋体" w:hAnsi="宋体" w:cs="宋体" w:hint="eastAsia"/>
            <w:kern w:val="0"/>
          </w:rPr>
          <w:fldChar w:fldCharType="separate"/>
        </w:r>
        <w:r w:rsidR="00E22BDD">
          <w:rPr>
            <w:rFonts w:ascii="宋体" w:hAnsi="宋体" w:cs="宋体" w:hint="eastAsia"/>
            <w:kern w:val="0"/>
          </w:rPr>
          <w:t>37</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9565" w:history="1">
        <w:r w:rsidR="00E22BDD">
          <w:rPr>
            <w:rFonts w:ascii="宋体" w:hAnsi="宋体" w:cs="宋体" w:hint="eastAsia"/>
            <w:kern w:val="0"/>
          </w:rPr>
          <w:t>4.4.1考核内容</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_Toc19565 </w:instrText>
        </w:r>
        <w:r w:rsidR="00E22BDD">
          <w:rPr>
            <w:rFonts w:ascii="宋体" w:hAnsi="宋体" w:cs="宋体" w:hint="eastAsia"/>
            <w:kern w:val="0"/>
          </w:rPr>
          <w:fldChar w:fldCharType="separate"/>
        </w:r>
        <w:r w:rsidR="00E22BDD">
          <w:rPr>
            <w:rFonts w:ascii="宋体" w:hAnsi="宋体" w:cs="宋体" w:hint="eastAsia"/>
            <w:kern w:val="0"/>
          </w:rPr>
          <w:t>37</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3644" w:history="1">
        <w:r w:rsidR="00E22BDD">
          <w:rPr>
            <w:rFonts w:ascii="宋体" w:hAnsi="宋体" w:cs="宋体" w:hint="eastAsia"/>
            <w:kern w:val="0"/>
          </w:rPr>
          <w:t>4.4.2考核等次及结果使用</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_Toc23644 </w:instrText>
        </w:r>
        <w:r w:rsidR="00E22BDD">
          <w:rPr>
            <w:rFonts w:ascii="宋体" w:hAnsi="宋体" w:cs="宋体" w:hint="eastAsia"/>
            <w:kern w:val="0"/>
          </w:rPr>
          <w:fldChar w:fldCharType="separate"/>
        </w:r>
        <w:r w:rsidR="00E22BDD">
          <w:rPr>
            <w:rFonts w:ascii="宋体" w:hAnsi="宋体" w:cs="宋体" w:hint="eastAsia"/>
            <w:kern w:val="0"/>
          </w:rPr>
          <w:t>38</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1621" w:history="1">
        <w:r w:rsidR="00E22BDD">
          <w:rPr>
            <w:rFonts w:ascii="宋体" w:hAnsi="宋体" w:cs="宋体" w:hint="eastAsia"/>
            <w:kern w:val="0"/>
          </w:rPr>
          <w:t>4.5.1职员职级聘用管理（详见广大〔2017〕120号）</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_Toc11621 </w:instrText>
        </w:r>
        <w:r w:rsidR="00E22BDD">
          <w:rPr>
            <w:rFonts w:ascii="宋体" w:hAnsi="宋体" w:cs="宋体" w:hint="eastAsia"/>
            <w:kern w:val="0"/>
          </w:rPr>
          <w:fldChar w:fldCharType="separate"/>
        </w:r>
        <w:r w:rsidR="00E22BDD">
          <w:rPr>
            <w:rFonts w:ascii="宋体" w:hAnsi="宋体" w:cs="宋体" w:hint="eastAsia"/>
            <w:kern w:val="0"/>
          </w:rPr>
          <w:t>38</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6096" w:history="1">
        <w:r w:rsidR="00E22BDD">
          <w:rPr>
            <w:rFonts w:ascii="宋体" w:hAnsi="宋体" w:cs="宋体" w:hint="eastAsia"/>
            <w:kern w:val="0"/>
          </w:rPr>
          <w:t>4.5.2非事业单位编制人员用工管理（详见广大〔2017〕85号）</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_Toc26096 </w:instrText>
        </w:r>
        <w:r w:rsidR="00E22BDD">
          <w:rPr>
            <w:rFonts w:ascii="宋体" w:hAnsi="宋体" w:cs="宋体" w:hint="eastAsia"/>
            <w:kern w:val="0"/>
          </w:rPr>
          <w:fldChar w:fldCharType="separate"/>
        </w:r>
        <w:r w:rsidR="00E22BDD">
          <w:rPr>
            <w:rFonts w:ascii="宋体" w:hAnsi="宋体" w:cs="宋体" w:hint="eastAsia"/>
            <w:kern w:val="0"/>
          </w:rPr>
          <w:t>39</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8829" w:history="1">
        <w:r w:rsidR="00E22BDD">
          <w:rPr>
            <w:rFonts w:ascii="宋体" w:hAnsi="宋体" w:cs="宋体" w:hint="eastAsia"/>
            <w:kern w:val="0"/>
          </w:rPr>
          <w:t>4.5.3教职工校内流动管理（详见广大〔2017〕63号）</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_Toc18829 </w:instrText>
        </w:r>
        <w:r w:rsidR="00E22BDD">
          <w:rPr>
            <w:rFonts w:ascii="宋体" w:hAnsi="宋体" w:cs="宋体" w:hint="eastAsia"/>
            <w:kern w:val="0"/>
          </w:rPr>
          <w:fldChar w:fldCharType="separate"/>
        </w:r>
        <w:r w:rsidR="00E22BDD">
          <w:rPr>
            <w:rFonts w:ascii="宋体" w:hAnsi="宋体" w:cs="宋体" w:hint="eastAsia"/>
            <w:kern w:val="0"/>
          </w:rPr>
          <w:t>39</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646" w:history="1">
        <w:r w:rsidR="00E22BDD">
          <w:rPr>
            <w:rFonts w:ascii="宋体" w:hAnsi="宋体" w:cs="宋体" w:hint="eastAsia"/>
            <w:kern w:val="0"/>
          </w:rPr>
          <w:t>4.6薪酬管理</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_Toc1646 </w:instrText>
        </w:r>
        <w:r w:rsidR="00E22BDD">
          <w:rPr>
            <w:rFonts w:ascii="宋体" w:hAnsi="宋体" w:cs="宋体" w:hint="eastAsia"/>
            <w:kern w:val="0"/>
          </w:rPr>
          <w:fldChar w:fldCharType="separate"/>
        </w:r>
        <w:r w:rsidR="00E22BDD">
          <w:rPr>
            <w:rFonts w:ascii="宋体" w:hAnsi="宋体" w:cs="宋体" w:hint="eastAsia"/>
            <w:kern w:val="0"/>
          </w:rPr>
          <w:t>40</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0834" w:history="1">
        <w:r w:rsidR="00E22BDD">
          <w:rPr>
            <w:rFonts w:ascii="宋体" w:hAnsi="宋体" w:cs="宋体" w:hint="eastAsia"/>
            <w:kern w:val="0"/>
          </w:rPr>
          <w:t>4.6.1.1工资结构</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_Toc10834 </w:instrText>
        </w:r>
        <w:r w:rsidR="00E22BDD">
          <w:rPr>
            <w:rFonts w:ascii="宋体" w:hAnsi="宋体" w:cs="宋体" w:hint="eastAsia"/>
            <w:kern w:val="0"/>
          </w:rPr>
          <w:fldChar w:fldCharType="separate"/>
        </w:r>
        <w:r w:rsidR="00E22BDD">
          <w:rPr>
            <w:rFonts w:ascii="宋体" w:hAnsi="宋体" w:cs="宋体" w:hint="eastAsia"/>
            <w:kern w:val="0"/>
          </w:rPr>
          <w:t>41</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4851" w:history="1">
        <w:r w:rsidR="00E22BDD">
          <w:rPr>
            <w:rFonts w:ascii="宋体" w:hAnsi="宋体" w:cs="宋体" w:hint="eastAsia"/>
            <w:kern w:val="0"/>
          </w:rPr>
          <w:t>4.6.1.2工资调整</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_Toc14851 </w:instrText>
        </w:r>
        <w:r w:rsidR="00E22BDD">
          <w:rPr>
            <w:rFonts w:ascii="宋体" w:hAnsi="宋体" w:cs="宋体" w:hint="eastAsia"/>
            <w:kern w:val="0"/>
          </w:rPr>
          <w:fldChar w:fldCharType="separate"/>
        </w:r>
        <w:r w:rsidR="00E22BDD">
          <w:rPr>
            <w:rFonts w:ascii="宋体" w:hAnsi="宋体" w:cs="宋体" w:hint="eastAsia"/>
            <w:kern w:val="0"/>
          </w:rPr>
          <w:t>42</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4341" w:history="1">
        <w:r w:rsidR="00E22BDD">
          <w:rPr>
            <w:rFonts w:ascii="宋体" w:hAnsi="宋体" w:cs="宋体" w:hint="eastAsia"/>
            <w:kern w:val="0"/>
          </w:rPr>
          <w:t>4.6.1.3工资发放</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_Toc14341 </w:instrText>
        </w:r>
        <w:r w:rsidR="00E22BDD">
          <w:rPr>
            <w:rFonts w:ascii="宋体" w:hAnsi="宋体" w:cs="宋体" w:hint="eastAsia"/>
            <w:kern w:val="0"/>
          </w:rPr>
          <w:fldChar w:fldCharType="separate"/>
        </w:r>
        <w:r w:rsidR="00E22BDD">
          <w:rPr>
            <w:rFonts w:ascii="宋体" w:hAnsi="宋体" w:cs="宋体" w:hint="eastAsia"/>
            <w:kern w:val="0"/>
          </w:rPr>
          <w:t>42</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6445" w:history="1">
        <w:r w:rsidR="00E22BDD">
          <w:rPr>
            <w:rFonts w:ascii="宋体" w:hAnsi="宋体" w:cs="宋体" w:hint="eastAsia"/>
            <w:kern w:val="0"/>
          </w:rPr>
          <w:t>4.6.2社会保险</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_Toc6445 </w:instrText>
        </w:r>
        <w:r w:rsidR="00E22BDD">
          <w:rPr>
            <w:rFonts w:ascii="宋体" w:hAnsi="宋体" w:cs="宋体" w:hint="eastAsia"/>
            <w:kern w:val="0"/>
          </w:rPr>
          <w:fldChar w:fldCharType="separate"/>
        </w:r>
        <w:r w:rsidR="00E22BDD">
          <w:rPr>
            <w:rFonts w:ascii="宋体" w:hAnsi="宋体" w:cs="宋体" w:hint="eastAsia"/>
            <w:kern w:val="0"/>
          </w:rPr>
          <w:t>43</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31963" w:history="1">
        <w:r w:rsidR="00E22BDD">
          <w:rPr>
            <w:rFonts w:ascii="宋体" w:hAnsi="宋体" w:cs="宋体" w:hint="eastAsia"/>
            <w:kern w:val="0"/>
          </w:rPr>
          <w:t>4.6.3福利</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_Toc31963 </w:instrText>
        </w:r>
        <w:r w:rsidR="00E22BDD">
          <w:rPr>
            <w:rFonts w:ascii="宋体" w:hAnsi="宋体" w:cs="宋体" w:hint="eastAsia"/>
            <w:kern w:val="0"/>
          </w:rPr>
          <w:fldChar w:fldCharType="separate"/>
        </w:r>
        <w:r w:rsidR="00E22BDD">
          <w:rPr>
            <w:rFonts w:ascii="宋体" w:hAnsi="宋体" w:cs="宋体" w:hint="eastAsia"/>
            <w:kern w:val="0"/>
          </w:rPr>
          <w:t>45</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0116" w:history="1">
        <w:r w:rsidR="00E22BDD">
          <w:rPr>
            <w:rFonts w:ascii="宋体" w:hAnsi="宋体" w:cs="宋体" w:hint="eastAsia"/>
            <w:kern w:val="0"/>
          </w:rPr>
          <w:t>4.7教师的培训与发展</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_Toc20116 </w:instrText>
        </w:r>
        <w:r w:rsidR="00E22BDD">
          <w:rPr>
            <w:rFonts w:ascii="宋体" w:hAnsi="宋体" w:cs="宋体" w:hint="eastAsia"/>
            <w:kern w:val="0"/>
          </w:rPr>
          <w:fldChar w:fldCharType="separate"/>
        </w:r>
        <w:r w:rsidR="00E22BDD">
          <w:rPr>
            <w:rFonts w:ascii="宋体" w:hAnsi="宋体" w:cs="宋体" w:hint="eastAsia"/>
            <w:kern w:val="0"/>
          </w:rPr>
          <w:t>46</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6946" w:history="1">
        <w:r w:rsidR="00E22BDD">
          <w:rPr>
            <w:rFonts w:ascii="宋体" w:hAnsi="宋体" w:cs="宋体" w:hint="eastAsia"/>
            <w:kern w:val="0"/>
          </w:rPr>
          <w:t>4.7.1教师岗前培训</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_Toc26946 </w:instrText>
        </w:r>
        <w:r w:rsidR="00E22BDD">
          <w:rPr>
            <w:rFonts w:ascii="宋体" w:hAnsi="宋体" w:cs="宋体" w:hint="eastAsia"/>
            <w:kern w:val="0"/>
          </w:rPr>
          <w:fldChar w:fldCharType="separate"/>
        </w:r>
        <w:r w:rsidR="00E22BDD">
          <w:rPr>
            <w:rFonts w:ascii="宋体" w:hAnsi="宋体" w:cs="宋体" w:hint="eastAsia"/>
            <w:kern w:val="0"/>
          </w:rPr>
          <w:t>46</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6809" w:history="1">
        <w:r w:rsidR="00E22BDD">
          <w:rPr>
            <w:rFonts w:ascii="宋体" w:hAnsi="宋体" w:cs="宋体" w:hint="eastAsia"/>
            <w:kern w:val="0"/>
          </w:rPr>
          <w:t>4.7.2专业技术人员继续教育</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_Toc6809 </w:instrText>
        </w:r>
        <w:r w:rsidR="00E22BDD">
          <w:rPr>
            <w:rFonts w:ascii="宋体" w:hAnsi="宋体" w:cs="宋体" w:hint="eastAsia"/>
            <w:kern w:val="0"/>
          </w:rPr>
          <w:fldChar w:fldCharType="separate"/>
        </w:r>
        <w:r w:rsidR="00E22BDD">
          <w:rPr>
            <w:rFonts w:ascii="宋体" w:hAnsi="宋体" w:cs="宋体" w:hint="eastAsia"/>
            <w:kern w:val="0"/>
          </w:rPr>
          <w:t>46</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1349" w:history="1">
        <w:r w:rsidR="00E22BDD">
          <w:rPr>
            <w:rFonts w:ascii="宋体" w:hAnsi="宋体" w:cs="宋体" w:hint="eastAsia"/>
            <w:kern w:val="0"/>
          </w:rPr>
          <w:t>4.8教职工考勤管理办法（详见广大〔2018〕97号）</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_Toc21349 </w:instrText>
        </w:r>
        <w:r w:rsidR="00E22BDD">
          <w:rPr>
            <w:rFonts w:ascii="宋体" w:hAnsi="宋体" w:cs="宋体" w:hint="eastAsia"/>
            <w:kern w:val="0"/>
          </w:rPr>
          <w:fldChar w:fldCharType="separate"/>
        </w:r>
        <w:r w:rsidR="00E22BDD">
          <w:rPr>
            <w:rFonts w:ascii="宋体" w:hAnsi="宋体" w:cs="宋体" w:hint="eastAsia"/>
            <w:kern w:val="0"/>
          </w:rPr>
          <w:t>46</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4027" w:history="1">
        <w:r w:rsidR="00E22BDD">
          <w:rPr>
            <w:rFonts w:ascii="宋体" w:hAnsi="宋体" w:cs="宋体" w:hint="eastAsia"/>
            <w:kern w:val="0"/>
          </w:rPr>
          <w:t>4.9教职工正常退休及高级专家延退、返聘（详见广大〔2017〕298号）</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_Toc4027 </w:instrText>
        </w:r>
        <w:r w:rsidR="00E22BDD">
          <w:rPr>
            <w:rFonts w:ascii="宋体" w:hAnsi="宋体" w:cs="宋体" w:hint="eastAsia"/>
            <w:kern w:val="0"/>
          </w:rPr>
          <w:fldChar w:fldCharType="separate"/>
        </w:r>
        <w:r w:rsidR="00E22BDD">
          <w:rPr>
            <w:rFonts w:ascii="宋体" w:hAnsi="宋体" w:cs="宋体" w:hint="eastAsia"/>
            <w:kern w:val="0"/>
          </w:rPr>
          <w:t>48</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32502" w:history="1">
        <w:r w:rsidR="00E22BDD">
          <w:rPr>
            <w:rFonts w:ascii="宋体" w:hAnsi="宋体" w:cs="宋体" w:hint="eastAsia"/>
            <w:kern w:val="0"/>
          </w:rPr>
          <w:t>4.9.1教职工退休</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_Toc32502 </w:instrText>
        </w:r>
        <w:r w:rsidR="00E22BDD">
          <w:rPr>
            <w:rFonts w:ascii="宋体" w:hAnsi="宋体" w:cs="宋体" w:hint="eastAsia"/>
            <w:kern w:val="0"/>
          </w:rPr>
          <w:fldChar w:fldCharType="separate"/>
        </w:r>
        <w:r w:rsidR="00E22BDD">
          <w:rPr>
            <w:rFonts w:ascii="宋体" w:hAnsi="宋体" w:cs="宋体" w:hint="eastAsia"/>
            <w:kern w:val="0"/>
          </w:rPr>
          <w:t>48</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31547" w:history="1">
        <w:r w:rsidR="00E22BDD">
          <w:rPr>
            <w:rFonts w:ascii="宋体" w:hAnsi="宋体" w:cs="宋体" w:hint="eastAsia"/>
            <w:kern w:val="0"/>
          </w:rPr>
          <w:t>4.9.2高级专家延退（详见广大〔2017〕298号）</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_Toc31547 </w:instrText>
        </w:r>
        <w:r w:rsidR="00E22BDD">
          <w:rPr>
            <w:rFonts w:ascii="宋体" w:hAnsi="宋体" w:cs="宋体" w:hint="eastAsia"/>
            <w:kern w:val="0"/>
          </w:rPr>
          <w:fldChar w:fldCharType="separate"/>
        </w:r>
        <w:r w:rsidR="00E22BDD">
          <w:rPr>
            <w:rFonts w:ascii="宋体" w:hAnsi="宋体" w:cs="宋体" w:hint="eastAsia"/>
            <w:kern w:val="0"/>
          </w:rPr>
          <w:t>48</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7530" w:history="1">
        <w:r w:rsidR="00E22BDD">
          <w:rPr>
            <w:rFonts w:ascii="宋体" w:hAnsi="宋体" w:cs="宋体" w:hint="eastAsia"/>
            <w:kern w:val="0"/>
          </w:rPr>
          <w:t>4.9.3高级专家返聘</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_Toc17530 </w:instrText>
        </w:r>
        <w:r w:rsidR="00E22BDD">
          <w:rPr>
            <w:rFonts w:ascii="宋体" w:hAnsi="宋体" w:cs="宋体" w:hint="eastAsia"/>
            <w:kern w:val="0"/>
          </w:rPr>
          <w:fldChar w:fldCharType="separate"/>
        </w:r>
        <w:r w:rsidR="00E22BDD">
          <w:rPr>
            <w:rFonts w:ascii="宋体" w:hAnsi="宋体" w:cs="宋体" w:hint="eastAsia"/>
            <w:kern w:val="0"/>
          </w:rPr>
          <w:t>49</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6853" w:history="1">
        <w:r w:rsidR="00E22BDD">
          <w:rPr>
            <w:rFonts w:ascii="宋体" w:hAnsi="宋体" w:cs="宋体" w:hint="eastAsia"/>
            <w:kern w:val="0"/>
          </w:rPr>
          <w:t>4.10国家、省、市级人才计划</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_Toc6853 </w:instrText>
        </w:r>
        <w:r w:rsidR="00E22BDD">
          <w:rPr>
            <w:rFonts w:ascii="宋体" w:hAnsi="宋体" w:cs="宋体" w:hint="eastAsia"/>
            <w:kern w:val="0"/>
          </w:rPr>
          <w:fldChar w:fldCharType="separate"/>
        </w:r>
        <w:r w:rsidR="00E22BDD">
          <w:rPr>
            <w:rFonts w:ascii="宋体" w:hAnsi="宋体" w:cs="宋体" w:hint="eastAsia"/>
            <w:kern w:val="0"/>
          </w:rPr>
          <w:t>49</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3767" w:history="1">
        <w:r w:rsidR="00E22BDD">
          <w:rPr>
            <w:rFonts w:ascii="宋体" w:hAnsi="宋体" w:cs="宋体" w:hint="eastAsia"/>
            <w:kern w:val="0"/>
          </w:rPr>
          <w:t>4.11校内人才计划（详见《教师特聘岗位实施细则》）</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_Toc3767 </w:instrText>
        </w:r>
        <w:r w:rsidR="00E22BDD">
          <w:rPr>
            <w:rFonts w:ascii="宋体" w:hAnsi="宋体" w:cs="宋体" w:hint="eastAsia"/>
            <w:kern w:val="0"/>
          </w:rPr>
          <w:fldChar w:fldCharType="separate"/>
        </w:r>
        <w:r w:rsidR="00E22BDD">
          <w:rPr>
            <w:rFonts w:ascii="宋体" w:hAnsi="宋体" w:cs="宋体" w:hint="eastAsia"/>
            <w:kern w:val="0"/>
          </w:rPr>
          <w:t>53</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32342" w:history="1">
        <w:r w:rsidR="00E22BDD">
          <w:rPr>
            <w:rFonts w:ascii="宋体" w:hAnsi="宋体" w:cs="宋体" w:hint="eastAsia"/>
            <w:kern w:val="0"/>
          </w:rPr>
          <w:t>4.11.1广州学者岗</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_Toc32342 </w:instrText>
        </w:r>
        <w:r w:rsidR="00E22BDD">
          <w:rPr>
            <w:rFonts w:ascii="宋体" w:hAnsi="宋体" w:cs="宋体" w:hint="eastAsia"/>
            <w:kern w:val="0"/>
          </w:rPr>
          <w:fldChar w:fldCharType="separate"/>
        </w:r>
        <w:r w:rsidR="00E22BDD">
          <w:rPr>
            <w:rFonts w:ascii="宋体" w:hAnsi="宋体" w:cs="宋体" w:hint="eastAsia"/>
            <w:kern w:val="0"/>
          </w:rPr>
          <w:t>53</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31221" w:history="1">
        <w:r w:rsidR="00E22BDD">
          <w:rPr>
            <w:rFonts w:ascii="宋体" w:hAnsi="宋体" w:cs="宋体" w:hint="eastAsia"/>
            <w:kern w:val="0"/>
          </w:rPr>
          <w:t>4.11.2广州良师岗</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_Toc31221 </w:instrText>
        </w:r>
        <w:r w:rsidR="00E22BDD">
          <w:rPr>
            <w:rFonts w:ascii="宋体" w:hAnsi="宋体" w:cs="宋体" w:hint="eastAsia"/>
            <w:kern w:val="0"/>
          </w:rPr>
          <w:fldChar w:fldCharType="separate"/>
        </w:r>
        <w:r w:rsidR="00E22BDD">
          <w:rPr>
            <w:rFonts w:ascii="宋体" w:hAnsi="宋体" w:cs="宋体" w:hint="eastAsia"/>
            <w:kern w:val="0"/>
          </w:rPr>
          <w:t>54</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5442" w:history="1">
        <w:r w:rsidR="00E22BDD">
          <w:rPr>
            <w:rFonts w:ascii="宋体" w:hAnsi="宋体" w:cs="宋体" w:hint="eastAsia"/>
            <w:kern w:val="0"/>
          </w:rPr>
          <w:t>4.11.3聘期管理</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_Toc15442 </w:instrText>
        </w:r>
        <w:r w:rsidR="00E22BDD">
          <w:rPr>
            <w:rFonts w:ascii="宋体" w:hAnsi="宋体" w:cs="宋体" w:hint="eastAsia"/>
            <w:kern w:val="0"/>
          </w:rPr>
          <w:fldChar w:fldCharType="separate"/>
        </w:r>
        <w:r w:rsidR="00E22BDD">
          <w:rPr>
            <w:rFonts w:ascii="宋体" w:hAnsi="宋体" w:cs="宋体" w:hint="eastAsia"/>
            <w:kern w:val="0"/>
          </w:rPr>
          <w:t>55</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2402" w:history="1">
        <w:r w:rsidR="00E22BDD">
          <w:rPr>
            <w:rFonts w:ascii="宋体" w:hAnsi="宋体" w:cs="宋体" w:hint="eastAsia"/>
            <w:kern w:val="0"/>
          </w:rPr>
          <w:t>4.12博士后流动站管理</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_Toc22402 </w:instrText>
        </w:r>
        <w:r w:rsidR="00E22BDD">
          <w:rPr>
            <w:rFonts w:ascii="宋体" w:hAnsi="宋体" w:cs="宋体" w:hint="eastAsia"/>
            <w:kern w:val="0"/>
          </w:rPr>
          <w:fldChar w:fldCharType="separate"/>
        </w:r>
        <w:r w:rsidR="00E22BDD">
          <w:rPr>
            <w:rFonts w:ascii="宋体" w:hAnsi="宋体" w:cs="宋体" w:hint="eastAsia"/>
            <w:kern w:val="0"/>
          </w:rPr>
          <w:t>55</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6471" w:history="1">
        <w:r w:rsidR="00E22BDD">
          <w:rPr>
            <w:rFonts w:ascii="宋体" w:hAnsi="宋体" w:cs="宋体" w:hint="eastAsia"/>
            <w:kern w:val="0"/>
          </w:rPr>
          <w:t>4.12.1申请者向流动站递交申请的材料及流程</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_Toc6471 </w:instrText>
        </w:r>
        <w:r w:rsidR="00E22BDD">
          <w:rPr>
            <w:rFonts w:ascii="宋体" w:hAnsi="宋体" w:cs="宋体" w:hint="eastAsia"/>
            <w:kern w:val="0"/>
          </w:rPr>
          <w:fldChar w:fldCharType="separate"/>
        </w:r>
        <w:r w:rsidR="00E22BDD">
          <w:rPr>
            <w:rFonts w:ascii="宋体" w:hAnsi="宋体" w:cs="宋体" w:hint="eastAsia"/>
            <w:kern w:val="0"/>
          </w:rPr>
          <w:t>55</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1112" w:history="1">
        <w:r w:rsidR="00E22BDD">
          <w:rPr>
            <w:rFonts w:ascii="宋体" w:hAnsi="宋体" w:cs="宋体" w:hint="eastAsia"/>
            <w:kern w:val="0"/>
          </w:rPr>
          <w:t>4.12.2流动站向学校人事处博士后管理办公室申请博士后进站递交材料及流程</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_Toc11112 </w:instrText>
        </w:r>
        <w:r w:rsidR="00E22BDD">
          <w:rPr>
            <w:rFonts w:ascii="宋体" w:hAnsi="宋体" w:cs="宋体" w:hint="eastAsia"/>
            <w:kern w:val="0"/>
          </w:rPr>
          <w:fldChar w:fldCharType="separate"/>
        </w:r>
        <w:r w:rsidR="00E22BDD">
          <w:rPr>
            <w:rFonts w:ascii="宋体" w:hAnsi="宋体" w:cs="宋体" w:hint="eastAsia"/>
            <w:kern w:val="0"/>
          </w:rPr>
          <w:t>57</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31336" w:history="1">
        <w:r w:rsidR="00E22BDD">
          <w:rPr>
            <w:rFonts w:ascii="宋体" w:hAnsi="宋体" w:cs="宋体" w:hint="eastAsia"/>
            <w:kern w:val="0"/>
          </w:rPr>
          <w:t>4.12.3学校博管办向上级部门递交材料及流程</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_Toc31336 </w:instrText>
        </w:r>
        <w:r w:rsidR="00E22BDD">
          <w:rPr>
            <w:rFonts w:ascii="宋体" w:hAnsi="宋体" w:cs="宋体" w:hint="eastAsia"/>
            <w:kern w:val="0"/>
          </w:rPr>
          <w:fldChar w:fldCharType="separate"/>
        </w:r>
        <w:r w:rsidR="00E22BDD">
          <w:rPr>
            <w:rFonts w:ascii="宋体" w:hAnsi="宋体" w:cs="宋体" w:hint="eastAsia"/>
            <w:kern w:val="0"/>
          </w:rPr>
          <w:t>57</w:t>
        </w:r>
        <w:r w:rsidR="00E22BDD">
          <w:rPr>
            <w:rFonts w:ascii="宋体" w:hAnsi="宋体" w:cs="宋体" w:hint="eastAsia"/>
            <w:kern w:val="0"/>
          </w:rPr>
          <w:fldChar w:fldCharType="end"/>
        </w:r>
      </w:hyperlink>
    </w:p>
    <w:p w:rsidR="00E37845" w:rsidRDefault="001B499F">
      <w:pPr>
        <w:pStyle w:val="TOC1"/>
        <w:tabs>
          <w:tab w:val="right" w:leader="dot" w:pos="9015"/>
        </w:tabs>
        <w:jc w:val="center"/>
        <w:rPr>
          <w:rFonts w:ascii="方正小标宋简体" w:eastAsia="方正小标宋简体" w:hAnsi="方正小标宋简体" w:cs="方正小标宋简体"/>
          <w:b/>
          <w:bCs/>
          <w:sz w:val="24"/>
          <w:szCs w:val="24"/>
        </w:rPr>
      </w:pPr>
      <w:hyperlink w:anchor="_Toc6703" w:history="1">
        <w:r w:rsidR="00E22BDD">
          <w:rPr>
            <w:rFonts w:ascii="方正小标宋简体" w:eastAsia="方正小标宋简体" w:hAnsi="方正小标宋简体" w:cs="方正小标宋简体" w:hint="eastAsia"/>
            <w:b/>
            <w:bCs/>
            <w:sz w:val="24"/>
            <w:szCs w:val="24"/>
          </w:rPr>
          <w:t>第三篇  教学科研</w:t>
        </w:r>
      </w:hyperlink>
    </w:p>
    <w:p w:rsidR="00E37845" w:rsidRDefault="001B499F">
      <w:pPr>
        <w:pStyle w:val="TOC1"/>
        <w:tabs>
          <w:tab w:val="right" w:leader="dot" w:pos="9015"/>
        </w:tabs>
        <w:rPr>
          <w:rFonts w:ascii="宋体" w:hAnsi="宋体" w:cs="宋体"/>
        </w:rPr>
      </w:pPr>
      <w:hyperlink w:anchor="_Toc32177" w:history="1">
        <w:r w:rsidR="00E22BDD">
          <w:rPr>
            <w:rFonts w:ascii="宋体" w:hAnsi="宋体" w:cs="宋体" w:hint="eastAsia"/>
          </w:rPr>
          <w:t>5.本科教学</w:t>
        </w:r>
        <w:r w:rsidR="00E22BDD">
          <w:rPr>
            <w:rFonts w:ascii="宋体" w:hAnsi="宋体" w:cs="宋体" w:hint="eastAsia"/>
          </w:rPr>
          <w:tab/>
        </w:r>
        <w:r w:rsidR="00E22BDD">
          <w:rPr>
            <w:rFonts w:ascii="宋体" w:hAnsi="宋体" w:cs="宋体" w:hint="eastAsia"/>
          </w:rPr>
          <w:fldChar w:fldCharType="begin"/>
        </w:r>
        <w:r w:rsidR="00E22BDD">
          <w:rPr>
            <w:rFonts w:ascii="宋体" w:hAnsi="宋体" w:cs="宋体" w:hint="eastAsia"/>
          </w:rPr>
          <w:instrText xml:space="preserve"> PAGEREF _Toc32177 </w:instrText>
        </w:r>
        <w:r w:rsidR="00E22BDD">
          <w:rPr>
            <w:rFonts w:ascii="宋体" w:hAnsi="宋体" w:cs="宋体" w:hint="eastAsia"/>
          </w:rPr>
          <w:fldChar w:fldCharType="separate"/>
        </w:r>
        <w:r w:rsidR="00E22BDD">
          <w:rPr>
            <w:rFonts w:ascii="宋体" w:hAnsi="宋体" w:cs="宋体" w:hint="eastAsia"/>
          </w:rPr>
          <w:t>58</w:t>
        </w:r>
        <w:r w:rsidR="00E22BDD">
          <w:rPr>
            <w:rFonts w:ascii="宋体" w:hAnsi="宋体" w:cs="宋体" w:hint="eastAsia"/>
          </w:rPr>
          <w:fldChar w:fldCharType="end"/>
        </w:r>
      </w:hyperlink>
    </w:p>
    <w:p w:rsidR="00E37845" w:rsidRDefault="001B499F">
      <w:pPr>
        <w:pStyle w:val="TOC2"/>
        <w:tabs>
          <w:tab w:val="right" w:leader="dot" w:pos="9015"/>
        </w:tabs>
        <w:rPr>
          <w:rFonts w:ascii="宋体" w:hAnsi="宋体" w:cs="宋体"/>
          <w:kern w:val="0"/>
        </w:rPr>
      </w:pPr>
      <w:hyperlink w:anchor="_Toc3863" w:history="1">
        <w:r w:rsidR="00E22BDD">
          <w:rPr>
            <w:rFonts w:ascii="宋体" w:hAnsi="宋体" w:cs="宋体" w:hint="eastAsia"/>
            <w:kern w:val="0"/>
          </w:rPr>
          <w:t>5.1青年教师基本素质培养（详见广大〔2017〕304号）</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_Toc3863 </w:instrText>
        </w:r>
        <w:r w:rsidR="00E22BDD">
          <w:rPr>
            <w:rFonts w:ascii="宋体" w:hAnsi="宋体" w:cs="宋体" w:hint="eastAsia"/>
            <w:kern w:val="0"/>
          </w:rPr>
          <w:fldChar w:fldCharType="separate"/>
        </w:r>
        <w:r w:rsidR="00E22BDD">
          <w:rPr>
            <w:rFonts w:ascii="宋体" w:hAnsi="宋体" w:cs="宋体" w:hint="eastAsia"/>
            <w:kern w:val="0"/>
          </w:rPr>
          <w:t>58</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2991" w:history="1">
        <w:r w:rsidR="00E22BDD">
          <w:rPr>
            <w:rFonts w:ascii="宋体" w:hAnsi="宋体" w:cs="宋体" w:hint="eastAsia"/>
            <w:kern w:val="0"/>
          </w:rPr>
          <w:t>5.2教学工作（详见广大〔2014〕49号）</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_Toc22991 </w:instrText>
        </w:r>
        <w:r w:rsidR="00E22BDD">
          <w:rPr>
            <w:rFonts w:ascii="宋体" w:hAnsi="宋体" w:cs="宋体" w:hint="eastAsia"/>
            <w:kern w:val="0"/>
          </w:rPr>
          <w:fldChar w:fldCharType="separate"/>
        </w:r>
        <w:r w:rsidR="00E22BDD">
          <w:rPr>
            <w:rFonts w:ascii="宋体" w:hAnsi="宋体" w:cs="宋体" w:hint="eastAsia"/>
            <w:kern w:val="0"/>
          </w:rPr>
          <w:t>58</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9436" w:history="1">
        <w:r w:rsidR="00E22BDD">
          <w:rPr>
            <w:rFonts w:ascii="宋体" w:hAnsi="宋体" w:cs="宋体" w:hint="eastAsia"/>
            <w:kern w:val="0"/>
          </w:rPr>
          <w:t>5.2.1设计与备课</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_Toc9436 </w:instrText>
        </w:r>
        <w:r w:rsidR="00E22BDD">
          <w:rPr>
            <w:rFonts w:ascii="宋体" w:hAnsi="宋体" w:cs="宋体" w:hint="eastAsia"/>
            <w:kern w:val="0"/>
          </w:rPr>
          <w:fldChar w:fldCharType="separate"/>
        </w:r>
        <w:r w:rsidR="00E22BDD">
          <w:rPr>
            <w:rFonts w:ascii="宋体" w:hAnsi="宋体" w:cs="宋体" w:hint="eastAsia"/>
            <w:kern w:val="0"/>
          </w:rPr>
          <w:t>58</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8090" w:history="1">
        <w:r w:rsidR="00E22BDD">
          <w:rPr>
            <w:rFonts w:ascii="宋体" w:hAnsi="宋体" w:cs="宋体" w:hint="eastAsia"/>
            <w:kern w:val="0"/>
          </w:rPr>
          <w:t>5.2.2课堂教学</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_Toc28090 </w:instrText>
        </w:r>
        <w:r w:rsidR="00E22BDD">
          <w:rPr>
            <w:rFonts w:ascii="宋体" w:hAnsi="宋体" w:cs="宋体" w:hint="eastAsia"/>
            <w:kern w:val="0"/>
          </w:rPr>
          <w:fldChar w:fldCharType="separate"/>
        </w:r>
        <w:r w:rsidR="00E22BDD">
          <w:rPr>
            <w:rFonts w:ascii="宋体" w:hAnsi="宋体" w:cs="宋体" w:hint="eastAsia"/>
            <w:kern w:val="0"/>
          </w:rPr>
          <w:t>59</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4593" w:history="1">
        <w:r w:rsidR="00E22BDD">
          <w:rPr>
            <w:rFonts w:ascii="宋体" w:hAnsi="宋体" w:cs="宋体" w:hint="eastAsia"/>
            <w:kern w:val="0"/>
          </w:rPr>
          <w:t>5.2.3辅导</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_Toc4593 </w:instrText>
        </w:r>
        <w:r w:rsidR="00E22BDD">
          <w:rPr>
            <w:rFonts w:ascii="宋体" w:hAnsi="宋体" w:cs="宋体" w:hint="eastAsia"/>
            <w:kern w:val="0"/>
          </w:rPr>
          <w:fldChar w:fldCharType="separate"/>
        </w:r>
        <w:r w:rsidR="00E22BDD">
          <w:rPr>
            <w:rFonts w:ascii="宋体" w:hAnsi="宋体" w:cs="宋体" w:hint="eastAsia"/>
            <w:kern w:val="0"/>
          </w:rPr>
          <w:t>59</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3705" w:history="1">
        <w:r w:rsidR="00E22BDD">
          <w:rPr>
            <w:rFonts w:ascii="宋体" w:hAnsi="宋体" w:cs="宋体" w:hint="eastAsia"/>
            <w:kern w:val="0"/>
          </w:rPr>
          <w:t>5.2.4作业</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_Toc23705 </w:instrText>
        </w:r>
        <w:r w:rsidR="00E22BDD">
          <w:rPr>
            <w:rFonts w:ascii="宋体" w:hAnsi="宋体" w:cs="宋体" w:hint="eastAsia"/>
            <w:kern w:val="0"/>
          </w:rPr>
          <w:fldChar w:fldCharType="separate"/>
        </w:r>
        <w:r w:rsidR="00E22BDD">
          <w:rPr>
            <w:rFonts w:ascii="宋体" w:hAnsi="宋体" w:cs="宋体" w:hint="eastAsia"/>
            <w:kern w:val="0"/>
          </w:rPr>
          <w:t>60</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1755" w:history="1">
        <w:r w:rsidR="00E22BDD">
          <w:rPr>
            <w:rFonts w:ascii="宋体" w:hAnsi="宋体" w:cs="宋体" w:hint="eastAsia"/>
            <w:kern w:val="0"/>
          </w:rPr>
          <w:t>5.2.5实验教学（详见广大〔2017〕315号）</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_Toc11755 </w:instrText>
        </w:r>
        <w:r w:rsidR="00E22BDD">
          <w:rPr>
            <w:rFonts w:ascii="宋体" w:hAnsi="宋体" w:cs="宋体" w:hint="eastAsia"/>
            <w:kern w:val="0"/>
          </w:rPr>
          <w:fldChar w:fldCharType="separate"/>
        </w:r>
        <w:r w:rsidR="00E22BDD">
          <w:rPr>
            <w:rFonts w:ascii="宋体" w:hAnsi="宋体" w:cs="宋体" w:hint="eastAsia"/>
            <w:kern w:val="0"/>
          </w:rPr>
          <w:t>60</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4707" w:history="1">
        <w:r w:rsidR="00E22BDD">
          <w:rPr>
            <w:rFonts w:ascii="宋体" w:hAnsi="宋体" w:cs="宋体" w:hint="eastAsia"/>
            <w:kern w:val="0"/>
          </w:rPr>
          <w:t>5.2.6实习教学</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_Toc24707 </w:instrText>
        </w:r>
        <w:r w:rsidR="00E22BDD">
          <w:rPr>
            <w:rFonts w:ascii="宋体" w:hAnsi="宋体" w:cs="宋体" w:hint="eastAsia"/>
            <w:kern w:val="0"/>
          </w:rPr>
          <w:fldChar w:fldCharType="separate"/>
        </w:r>
        <w:r w:rsidR="00E22BDD">
          <w:rPr>
            <w:rFonts w:ascii="宋体" w:hAnsi="宋体" w:cs="宋体" w:hint="eastAsia"/>
            <w:kern w:val="0"/>
          </w:rPr>
          <w:t>60</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6054" w:history="1">
        <w:r w:rsidR="00E22BDD">
          <w:rPr>
            <w:rFonts w:ascii="宋体" w:hAnsi="宋体" w:cs="宋体" w:hint="eastAsia"/>
            <w:kern w:val="0"/>
          </w:rPr>
          <w:t>5.2.7课程设计（论文）和综合设计（学年论文）（详见教务〔2017〕182号）</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_Toc26054 </w:instrText>
        </w:r>
        <w:r w:rsidR="00E22BDD">
          <w:rPr>
            <w:rFonts w:ascii="宋体" w:hAnsi="宋体" w:cs="宋体" w:hint="eastAsia"/>
            <w:kern w:val="0"/>
          </w:rPr>
          <w:fldChar w:fldCharType="separate"/>
        </w:r>
        <w:r w:rsidR="00E22BDD">
          <w:rPr>
            <w:rFonts w:ascii="宋体" w:hAnsi="宋体" w:cs="宋体" w:hint="eastAsia"/>
            <w:kern w:val="0"/>
          </w:rPr>
          <w:t>61</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3277" w:history="1">
        <w:r w:rsidR="00E22BDD">
          <w:rPr>
            <w:rFonts w:ascii="宋体" w:hAnsi="宋体" w:cs="宋体" w:hint="eastAsia"/>
            <w:kern w:val="0"/>
          </w:rPr>
          <w:t>5.2.8毕业论文（设计）（详见教务〔2017〕181号）</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_Toc3277 </w:instrText>
        </w:r>
        <w:r w:rsidR="00E22BDD">
          <w:rPr>
            <w:rFonts w:ascii="宋体" w:hAnsi="宋体" w:cs="宋体" w:hint="eastAsia"/>
            <w:kern w:val="0"/>
          </w:rPr>
          <w:fldChar w:fldCharType="separate"/>
        </w:r>
        <w:r w:rsidR="00E22BDD">
          <w:rPr>
            <w:rFonts w:ascii="宋体" w:hAnsi="宋体" w:cs="宋体" w:hint="eastAsia"/>
            <w:kern w:val="0"/>
          </w:rPr>
          <w:t>61</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5267" w:history="1">
        <w:r w:rsidR="00E22BDD">
          <w:rPr>
            <w:rFonts w:ascii="宋体" w:hAnsi="宋体" w:cs="宋体" w:hint="eastAsia"/>
            <w:kern w:val="0"/>
          </w:rPr>
          <w:t>5.2.9课程考核</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_Toc15267 </w:instrText>
        </w:r>
        <w:r w:rsidR="00E22BDD">
          <w:rPr>
            <w:rFonts w:ascii="宋体" w:hAnsi="宋体" w:cs="宋体" w:hint="eastAsia"/>
            <w:kern w:val="0"/>
          </w:rPr>
          <w:fldChar w:fldCharType="separate"/>
        </w:r>
        <w:r w:rsidR="00E22BDD">
          <w:rPr>
            <w:rFonts w:ascii="宋体" w:hAnsi="宋体" w:cs="宋体" w:hint="eastAsia"/>
            <w:kern w:val="0"/>
          </w:rPr>
          <w:t>62</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9770" w:history="1">
        <w:r w:rsidR="00E22BDD">
          <w:rPr>
            <w:rFonts w:ascii="宋体" w:hAnsi="宋体" w:cs="宋体" w:hint="eastAsia"/>
            <w:kern w:val="0"/>
          </w:rPr>
          <w:t>5.3教学工作纪律（详见广大〔2017〕319号）</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_Toc29770 </w:instrText>
        </w:r>
        <w:r w:rsidR="00E22BDD">
          <w:rPr>
            <w:rFonts w:ascii="宋体" w:hAnsi="宋体" w:cs="宋体" w:hint="eastAsia"/>
            <w:kern w:val="0"/>
          </w:rPr>
          <w:fldChar w:fldCharType="separate"/>
        </w:r>
        <w:r w:rsidR="00E22BDD">
          <w:rPr>
            <w:rFonts w:ascii="宋体" w:hAnsi="宋体" w:cs="宋体" w:hint="eastAsia"/>
            <w:kern w:val="0"/>
          </w:rPr>
          <w:t>62</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7877" w:history="1">
        <w:r w:rsidR="00E22BDD">
          <w:rPr>
            <w:rFonts w:ascii="宋体" w:hAnsi="宋体" w:cs="宋体" w:hint="eastAsia"/>
            <w:kern w:val="0"/>
          </w:rPr>
          <w:t>5.4教学质量监控与评估（详见广大〔2017〕108号）</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_Toc17877 </w:instrText>
        </w:r>
        <w:r w:rsidR="00E22BDD">
          <w:rPr>
            <w:rFonts w:ascii="宋体" w:hAnsi="宋体" w:cs="宋体" w:hint="eastAsia"/>
            <w:kern w:val="0"/>
          </w:rPr>
          <w:fldChar w:fldCharType="separate"/>
        </w:r>
        <w:r w:rsidR="00E22BDD">
          <w:rPr>
            <w:rFonts w:ascii="宋体" w:hAnsi="宋体" w:cs="宋体" w:hint="eastAsia"/>
            <w:kern w:val="0"/>
          </w:rPr>
          <w:t>64</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5573" w:history="1">
        <w:r w:rsidR="00E22BDD">
          <w:rPr>
            <w:rFonts w:ascii="宋体" w:hAnsi="宋体" w:cs="宋体" w:hint="eastAsia"/>
            <w:kern w:val="0"/>
          </w:rPr>
          <w:t>5.5教学奖励（详见广大〔2017〕264号、〔2017〕204号、〔2017〕205号等）</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_Toc25573 </w:instrText>
        </w:r>
        <w:r w:rsidR="00E22BDD">
          <w:rPr>
            <w:rFonts w:ascii="宋体" w:hAnsi="宋体" w:cs="宋体" w:hint="eastAsia"/>
            <w:kern w:val="0"/>
          </w:rPr>
          <w:fldChar w:fldCharType="separate"/>
        </w:r>
        <w:r w:rsidR="00E22BDD">
          <w:rPr>
            <w:rFonts w:ascii="宋体" w:hAnsi="宋体" w:cs="宋体" w:hint="eastAsia"/>
            <w:kern w:val="0"/>
          </w:rPr>
          <w:t>64</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527" w:history="1">
        <w:r w:rsidR="00E22BDD">
          <w:rPr>
            <w:rFonts w:ascii="宋体" w:hAnsi="宋体" w:cs="宋体" w:hint="eastAsia"/>
            <w:kern w:val="0"/>
          </w:rPr>
          <w:t>5.6本科教学事故的认定与处理（详见广大〔2017〕300号）</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_Toc527 </w:instrText>
        </w:r>
        <w:r w:rsidR="00E22BDD">
          <w:rPr>
            <w:rFonts w:ascii="宋体" w:hAnsi="宋体" w:cs="宋体" w:hint="eastAsia"/>
            <w:kern w:val="0"/>
          </w:rPr>
          <w:fldChar w:fldCharType="separate"/>
        </w:r>
        <w:r w:rsidR="00E22BDD">
          <w:rPr>
            <w:rFonts w:ascii="宋体" w:hAnsi="宋体" w:cs="宋体" w:hint="eastAsia"/>
            <w:kern w:val="0"/>
          </w:rPr>
          <w:t>65</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3821" w:history="1">
        <w:r w:rsidR="00E22BDD">
          <w:rPr>
            <w:rFonts w:ascii="宋体" w:hAnsi="宋体" w:cs="宋体" w:hint="eastAsia"/>
            <w:kern w:val="0"/>
          </w:rPr>
          <w:t>5.7教学工作量规定（详见广大〔2017〕304号）</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_Toc3821 </w:instrText>
        </w:r>
        <w:r w:rsidR="00E22BDD">
          <w:rPr>
            <w:rFonts w:ascii="宋体" w:hAnsi="宋体" w:cs="宋体" w:hint="eastAsia"/>
            <w:kern w:val="0"/>
          </w:rPr>
          <w:fldChar w:fldCharType="separate"/>
        </w:r>
        <w:r w:rsidR="00E22BDD">
          <w:rPr>
            <w:rFonts w:ascii="宋体" w:hAnsi="宋体" w:cs="宋体" w:hint="eastAsia"/>
            <w:kern w:val="0"/>
          </w:rPr>
          <w:t>67</w:t>
        </w:r>
        <w:r w:rsidR="00E22BDD">
          <w:rPr>
            <w:rFonts w:ascii="宋体" w:hAnsi="宋体" w:cs="宋体" w:hint="eastAsia"/>
            <w:kern w:val="0"/>
          </w:rPr>
          <w:fldChar w:fldCharType="end"/>
        </w:r>
      </w:hyperlink>
    </w:p>
    <w:p w:rsidR="00E37845" w:rsidRDefault="001B499F">
      <w:pPr>
        <w:pStyle w:val="TOC1"/>
        <w:tabs>
          <w:tab w:val="right" w:leader="dot" w:pos="9015"/>
        </w:tabs>
        <w:rPr>
          <w:rFonts w:ascii="宋体" w:hAnsi="宋体" w:cs="宋体"/>
        </w:rPr>
      </w:pPr>
      <w:hyperlink w:anchor="_Toc9357" w:history="1">
        <w:r w:rsidR="00E22BDD">
          <w:rPr>
            <w:rFonts w:ascii="宋体" w:hAnsi="宋体" w:cs="宋体" w:hint="eastAsia"/>
          </w:rPr>
          <w:t>6.研究生培养工作</w:t>
        </w:r>
        <w:r w:rsidR="00E22BDD">
          <w:rPr>
            <w:rFonts w:ascii="宋体" w:hAnsi="宋体" w:cs="宋体" w:hint="eastAsia"/>
          </w:rPr>
          <w:tab/>
        </w:r>
        <w:r w:rsidR="00E22BDD">
          <w:rPr>
            <w:rFonts w:ascii="宋体" w:hAnsi="宋体" w:cs="宋体" w:hint="eastAsia"/>
          </w:rPr>
          <w:fldChar w:fldCharType="begin"/>
        </w:r>
        <w:r w:rsidR="00E22BDD">
          <w:rPr>
            <w:rFonts w:ascii="宋体" w:hAnsi="宋体" w:cs="宋体" w:hint="eastAsia"/>
          </w:rPr>
          <w:instrText xml:space="preserve"> PAGEREF _Toc9357 </w:instrText>
        </w:r>
        <w:r w:rsidR="00E22BDD">
          <w:rPr>
            <w:rFonts w:ascii="宋体" w:hAnsi="宋体" w:cs="宋体" w:hint="eastAsia"/>
          </w:rPr>
          <w:fldChar w:fldCharType="separate"/>
        </w:r>
        <w:r w:rsidR="00E22BDD">
          <w:rPr>
            <w:rFonts w:ascii="宋体" w:hAnsi="宋体" w:cs="宋体" w:hint="eastAsia"/>
          </w:rPr>
          <w:t>68</w:t>
        </w:r>
        <w:r w:rsidR="00E22BDD">
          <w:rPr>
            <w:rFonts w:ascii="宋体" w:hAnsi="宋体" w:cs="宋体" w:hint="eastAsia"/>
          </w:rPr>
          <w:fldChar w:fldCharType="end"/>
        </w:r>
      </w:hyperlink>
    </w:p>
    <w:p w:rsidR="00E37845" w:rsidRDefault="001B499F">
      <w:pPr>
        <w:pStyle w:val="TOC2"/>
        <w:tabs>
          <w:tab w:val="right" w:leader="dot" w:pos="9015"/>
        </w:tabs>
        <w:rPr>
          <w:rFonts w:ascii="宋体" w:hAnsi="宋体" w:cs="宋体"/>
          <w:kern w:val="0"/>
        </w:rPr>
      </w:pPr>
      <w:hyperlink w:anchor="_Toc18052" w:history="1">
        <w:r w:rsidR="00E22BDD">
          <w:rPr>
            <w:rFonts w:ascii="宋体" w:hAnsi="宋体" w:cs="宋体" w:hint="eastAsia"/>
            <w:kern w:val="0"/>
          </w:rPr>
          <w:t>6.1研究生导师任职资格遴选条件（此办法为试行，新办法正在修订）</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_Toc18052 </w:instrText>
        </w:r>
        <w:r w:rsidR="00E22BDD">
          <w:rPr>
            <w:rFonts w:ascii="宋体" w:hAnsi="宋体" w:cs="宋体" w:hint="eastAsia"/>
            <w:kern w:val="0"/>
          </w:rPr>
          <w:fldChar w:fldCharType="separate"/>
        </w:r>
        <w:r w:rsidR="00E22BDD">
          <w:rPr>
            <w:rFonts w:ascii="宋体" w:hAnsi="宋体" w:cs="宋体" w:hint="eastAsia"/>
            <w:kern w:val="0"/>
          </w:rPr>
          <w:t>68</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32205" w:history="1">
        <w:r w:rsidR="00E22BDD">
          <w:rPr>
            <w:rFonts w:ascii="宋体" w:hAnsi="宋体" w:cs="宋体" w:hint="eastAsia"/>
            <w:kern w:val="0"/>
          </w:rPr>
          <w:t>6.2研究生导师招生资格遴选条件（此办法为试行，新办法正在修订）</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_Toc32205 </w:instrText>
        </w:r>
        <w:r w:rsidR="00E22BDD">
          <w:rPr>
            <w:rFonts w:ascii="宋体" w:hAnsi="宋体" w:cs="宋体" w:hint="eastAsia"/>
            <w:kern w:val="0"/>
          </w:rPr>
          <w:fldChar w:fldCharType="separate"/>
        </w:r>
        <w:r w:rsidR="00E22BDD">
          <w:rPr>
            <w:rFonts w:ascii="宋体" w:hAnsi="宋体" w:cs="宋体" w:hint="eastAsia"/>
            <w:kern w:val="0"/>
          </w:rPr>
          <w:t>69</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8500" w:history="1">
        <w:r w:rsidR="00E22BDD">
          <w:rPr>
            <w:rFonts w:ascii="宋体" w:hAnsi="宋体" w:cs="宋体" w:hint="eastAsia"/>
            <w:kern w:val="0"/>
          </w:rPr>
          <w:t>6.3优秀生源奖励标准</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_Toc28500 </w:instrText>
        </w:r>
        <w:r w:rsidR="00E22BDD">
          <w:rPr>
            <w:rFonts w:ascii="宋体" w:hAnsi="宋体" w:cs="宋体" w:hint="eastAsia"/>
            <w:kern w:val="0"/>
          </w:rPr>
          <w:fldChar w:fldCharType="separate"/>
        </w:r>
        <w:r w:rsidR="00E22BDD">
          <w:rPr>
            <w:rFonts w:ascii="宋体" w:hAnsi="宋体" w:cs="宋体" w:hint="eastAsia"/>
            <w:kern w:val="0"/>
          </w:rPr>
          <w:t>70</w:t>
        </w:r>
        <w:r w:rsidR="00E22BDD">
          <w:rPr>
            <w:rFonts w:ascii="宋体" w:hAnsi="宋体" w:cs="宋体" w:hint="eastAsia"/>
            <w:kern w:val="0"/>
          </w:rPr>
          <w:fldChar w:fldCharType="end"/>
        </w:r>
      </w:hyperlink>
    </w:p>
    <w:p w:rsidR="00E37845" w:rsidRDefault="001B499F">
      <w:pPr>
        <w:pStyle w:val="TOC1"/>
        <w:tabs>
          <w:tab w:val="right" w:leader="dot" w:pos="9015"/>
        </w:tabs>
        <w:rPr>
          <w:rFonts w:ascii="宋体" w:hAnsi="宋体" w:cs="宋体"/>
        </w:rPr>
      </w:pPr>
      <w:hyperlink w:anchor="_Toc18375" w:history="1">
        <w:r w:rsidR="00E22BDD">
          <w:rPr>
            <w:rFonts w:ascii="宋体" w:hAnsi="宋体" w:cs="宋体" w:hint="eastAsia"/>
          </w:rPr>
          <w:t>7.科研工作</w:t>
        </w:r>
        <w:r w:rsidR="00E22BDD">
          <w:rPr>
            <w:rFonts w:ascii="宋体" w:hAnsi="宋体" w:cs="宋体" w:hint="eastAsia"/>
          </w:rPr>
          <w:tab/>
        </w:r>
        <w:r w:rsidR="00E22BDD">
          <w:rPr>
            <w:rFonts w:ascii="宋体" w:hAnsi="宋体" w:cs="宋体" w:hint="eastAsia"/>
          </w:rPr>
          <w:fldChar w:fldCharType="begin"/>
        </w:r>
        <w:r w:rsidR="00E22BDD">
          <w:rPr>
            <w:rFonts w:ascii="宋体" w:hAnsi="宋体" w:cs="宋体" w:hint="eastAsia"/>
          </w:rPr>
          <w:instrText xml:space="preserve"> PAGEREF _Toc18375 </w:instrText>
        </w:r>
        <w:r w:rsidR="00E22BDD">
          <w:rPr>
            <w:rFonts w:ascii="宋体" w:hAnsi="宋体" w:cs="宋体" w:hint="eastAsia"/>
          </w:rPr>
          <w:fldChar w:fldCharType="separate"/>
        </w:r>
        <w:r w:rsidR="00E22BDD">
          <w:rPr>
            <w:rFonts w:ascii="宋体" w:hAnsi="宋体" w:cs="宋体" w:hint="eastAsia"/>
          </w:rPr>
          <w:t>71</w:t>
        </w:r>
        <w:r w:rsidR="00E22BDD">
          <w:rPr>
            <w:rFonts w:ascii="宋体" w:hAnsi="宋体" w:cs="宋体" w:hint="eastAsia"/>
          </w:rPr>
          <w:fldChar w:fldCharType="end"/>
        </w:r>
      </w:hyperlink>
    </w:p>
    <w:p w:rsidR="00E37845" w:rsidRDefault="001B499F">
      <w:pPr>
        <w:pStyle w:val="TOC2"/>
        <w:tabs>
          <w:tab w:val="right" w:leader="dot" w:pos="9015"/>
        </w:tabs>
        <w:rPr>
          <w:rFonts w:ascii="宋体" w:hAnsi="宋体" w:cs="宋体"/>
          <w:kern w:val="0"/>
        </w:rPr>
      </w:pPr>
      <w:hyperlink w:anchor="_Toc7624" w:history="1">
        <w:r w:rsidR="00E22BDD">
          <w:rPr>
            <w:rFonts w:ascii="宋体" w:hAnsi="宋体" w:cs="宋体" w:hint="eastAsia"/>
            <w:kern w:val="0"/>
          </w:rPr>
          <w:t>7.1科技类项目主要类别</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_Toc7624 </w:instrText>
        </w:r>
        <w:r w:rsidR="00E22BDD">
          <w:rPr>
            <w:rFonts w:ascii="宋体" w:hAnsi="宋体" w:cs="宋体" w:hint="eastAsia"/>
            <w:kern w:val="0"/>
          </w:rPr>
          <w:fldChar w:fldCharType="separate"/>
        </w:r>
        <w:r w:rsidR="00E22BDD">
          <w:rPr>
            <w:rFonts w:ascii="宋体" w:hAnsi="宋体" w:cs="宋体" w:hint="eastAsia"/>
            <w:kern w:val="0"/>
          </w:rPr>
          <w:t>71</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659" w:history="1">
        <w:r w:rsidR="00E22BDD">
          <w:rPr>
            <w:rFonts w:ascii="宋体" w:hAnsi="宋体" w:cs="宋体" w:hint="eastAsia"/>
            <w:kern w:val="0"/>
          </w:rPr>
          <w:t>7.2社科类项目主要类别(表1)</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_Toc2659 </w:instrText>
        </w:r>
        <w:r w:rsidR="00E22BDD">
          <w:rPr>
            <w:rFonts w:ascii="宋体" w:hAnsi="宋体" w:cs="宋体" w:hint="eastAsia"/>
            <w:kern w:val="0"/>
          </w:rPr>
          <w:fldChar w:fldCharType="separate"/>
        </w:r>
        <w:r w:rsidR="00E22BDD">
          <w:rPr>
            <w:rFonts w:ascii="宋体" w:hAnsi="宋体" w:cs="宋体" w:hint="eastAsia"/>
            <w:kern w:val="0"/>
          </w:rPr>
          <w:t>72</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445" w:history="1">
        <w:r w:rsidR="00E22BDD">
          <w:rPr>
            <w:rFonts w:ascii="宋体" w:hAnsi="宋体" w:cs="宋体" w:hint="eastAsia"/>
            <w:kern w:val="0"/>
          </w:rPr>
          <w:t>7.2社科类项目主要类别(表2)</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_Toc445 </w:instrText>
        </w:r>
        <w:r w:rsidR="00E22BDD">
          <w:rPr>
            <w:rFonts w:ascii="宋体" w:hAnsi="宋体" w:cs="宋体" w:hint="eastAsia"/>
            <w:kern w:val="0"/>
          </w:rPr>
          <w:fldChar w:fldCharType="separate"/>
        </w:r>
        <w:r w:rsidR="00E22BDD">
          <w:rPr>
            <w:rFonts w:ascii="宋体" w:hAnsi="宋体" w:cs="宋体" w:hint="eastAsia"/>
            <w:kern w:val="0"/>
          </w:rPr>
          <w:t>73</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588" w:history="1">
        <w:r w:rsidR="00E22BDD">
          <w:rPr>
            <w:rFonts w:ascii="宋体" w:hAnsi="宋体" w:cs="宋体" w:hint="eastAsia"/>
            <w:kern w:val="0"/>
          </w:rPr>
          <w:t>7.3科研项目工作流程</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_Toc1588 </w:instrText>
        </w:r>
        <w:r w:rsidR="00E22BDD">
          <w:rPr>
            <w:rFonts w:ascii="宋体" w:hAnsi="宋体" w:cs="宋体" w:hint="eastAsia"/>
            <w:kern w:val="0"/>
          </w:rPr>
          <w:fldChar w:fldCharType="separate"/>
        </w:r>
        <w:r w:rsidR="00E22BDD">
          <w:rPr>
            <w:rFonts w:ascii="宋体" w:hAnsi="宋体" w:cs="宋体" w:hint="eastAsia"/>
            <w:kern w:val="0"/>
          </w:rPr>
          <w:t>73</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913" w:history="1">
        <w:r w:rsidR="00E22BDD">
          <w:rPr>
            <w:rFonts w:ascii="宋体" w:hAnsi="宋体" w:cs="宋体" w:hint="eastAsia"/>
            <w:kern w:val="0"/>
          </w:rPr>
          <w:t>7.4科研项目和经费管理</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_Toc1913 </w:instrText>
        </w:r>
        <w:r w:rsidR="00E22BDD">
          <w:rPr>
            <w:rFonts w:ascii="宋体" w:hAnsi="宋体" w:cs="宋体" w:hint="eastAsia"/>
            <w:kern w:val="0"/>
          </w:rPr>
          <w:fldChar w:fldCharType="separate"/>
        </w:r>
        <w:r w:rsidR="00E22BDD">
          <w:rPr>
            <w:rFonts w:ascii="宋体" w:hAnsi="宋体" w:cs="宋体" w:hint="eastAsia"/>
            <w:kern w:val="0"/>
          </w:rPr>
          <w:t>74</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3230" w:history="1">
        <w:r w:rsidR="00E22BDD">
          <w:rPr>
            <w:rFonts w:ascii="宋体" w:hAnsi="宋体" w:cs="宋体" w:hint="eastAsia"/>
            <w:kern w:val="0"/>
          </w:rPr>
          <w:t>7.4.3科研经费管理办法（详见广大〔2017〕155号）</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_Toc3230 </w:instrText>
        </w:r>
        <w:r w:rsidR="00E22BDD">
          <w:rPr>
            <w:rFonts w:ascii="宋体" w:hAnsi="宋体" w:cs="宋体" w:hint="eastAsia"/>
            <w:kern w:val="0"/>
          </w:rPr>
          <w:fldChar w:fldCharType="separate"/>
        </w:r>
        <w:r w:rsidR="00E22BDD">
          <w:rPr>
            <w:rFonts w:ascii="宋体" w:hAnsi="宋体" w:cs="宋体" w:hint="eastAsia"/>
            <w:kern w:val="0"/>
          </w:rPr>
          <w:t>75</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892" w:history="1">
        <w:r w:rsidR="00E22BDD">
          <w:rPr>
            <w:rFonts w:ascii="宋体" w:hAnsi="宋体" w:cs="宋体" w:hint="eastAsia"/>
            <w:kern w:val="0"/>
          </w:rPr>
          <w:t>7.5科研平台主要类别</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_Toc892 </w:instrText>
        </w:r>
        <w:r w:rsidR="00E22BDD">
          <w:rPr>
            <w:rFonts w:ascii="宋体" w:hAnsi="宋体" w:cs="宋体" w:hint="eastAsia"/>
            <w:kern w:val="0"/>
          </w:rPr>
          <w:fldChar w:fldCharType="separate"/>
        </w:r>
        <w:r w:rsidR="00E22BDD">
          <w:rPr>
            <w:rFonts w:ascii="宋体" w:hAnsi="宋体" w:cs="宋体" w:hint="eastAsia"/>
            <w:kern w:val="0"/>
          </w:rPr>
          <w:t>76</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6735" w:history="1">
        <w:r w:rsidR="00E22BDD">
          <w:rPr>
            <w:rFonts w:ascii="宋体" w:hAnsi="宋体" w:cs="宋体" w:hint="eastAsia"/>
            <w:kern w:val="0"/>
          </w:rPr>
          <w:t>7.6知识产权（详见广大〔2017〕340号）</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_Toc26735 </w:instrText>
        </w:r>
        <w:r w:rsidR="00E22BDD">
          <w:rPr>
            <w:rFonts w:ascii="宋体" w:hAnsi="宋体" w:cs="宋体" w:hint="eastAsia"/>
            <w:kern w:val="0"/>
          </w:rPr>
          <w:fldChar w:fldCharType="separate"/>
        </w:r>
        <w:r w:rsidR="00E22BDD">
          <w:rPr>
            <w:rFonts w:ascii="宋体" w:hAnsi="宋体" w:cs="宋体" w:hint="eastAsia"/>
            <w:kern w:val="0"/>
          </w:rPr>
          <w:t>79</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956" w:history="1">
        <w:r w:rsidR="00E22BDD">
          <w:rPr>
            <w:rFonts w:ascii="宋体" w:hAnsi="宋体" w:cs="宋体" w:hint="eastAsia"/>
            <w:kern w:val="0"/>
          </w:rPr>
          <w:t>7.7科研奖励主要类别及申报</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_Toc1956 </w:instrText>
        </w:r>
        <w:r w:rsidR="00E22BDD">
          <w:rPr>
            <w:rFonts w:ascii="宋体" w:hAnsi="宋体" w:cs="宋体" w:hint="eastAsia"/>
            <w:kern w:val="0"/>
          </w:rPr>
          <w:fldChar w:fldCharType="separate"/>
        </w:r>
        <w:r w:rsidR="00E22BDD">
          <w:rPr>
            <w:rFonts w:ascii="宋体" w:hAnsi="宋体" w:cs="宋体" w:hint="eastAsia"/>
            <w:kern w:val="0"/>
          </w:rPr>
          <w:t>79</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32711" w:history="1">
        <w:r w:rsidR="00E22BDD">
          <w:rPr>
            <w:rFonts w:ascii="宋体" w:hAnsi="宋体" w:cs="宋体" w:hint="eastAsia"/>
            <w:kern w:val="0"/>
          </w:rPr>
          <w:t>7.8突出科研成果和重要平台奖励性绩效管理（详见广大〔2017〕225号）</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_Toc32711 </w:instrText>
        </w:r>
        <w:r w:rsidR="00E22BDD">
          <w:rPr>
            <w:rFonts w:ascii="宋体" w:hAnsi="宋体" w:cs="宋体" w:hint="eastAsia"/>
            <w:kern w:val="0"/>
          </w:rPr>
          <w:fldChar w:fldCharType="separate"/>
        </w:r>
        <w:r w:rsidR="00E22BDD">
          <w:rPr>
            <w:rFonts w:ascii="宋体" w:hAnsi="宋体" w:cs="宋体" w:hint="eastAsia"/>
            <w:kern w:val="0"/>
          </w:rPr>
          <w:t>79</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5703" w:history="1">
        <w:r w:rsidR="00E22BDD">
          <w:rPr>
            <w:rFonts w:ascii="宋体" w:hAnsi="宋体" w:cs="宋体" w:hint="eastAsia"/>
            <w:kern w:val="0"/>
          </w:rPr>
          <w:t>7.9管理文件一览表</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_Toc5703 </w:instrText>
        </w:r>
        <w:r w:rsidR="00E22BDD">
          <w:rPr>
            <w:rFonts w:ascii="宋体" w:hAnsi="宋体" w:cs="宋体" w:hint="eastAsia"/>
            <w:kern w:val="0"/>
          </w:rPr>
          <w:fldChar w:fldCharType="separate"/>
        </w:r>
        <w:r w:rsidR="00E22BDD">
          <w:rPr>
            <w:rFonts w:ascii="宋体" w:hAnsi="宋体" w:cs="宋体" w:hint="eastAsia"/>
            <w:kern w:val="0"/>
          </w:rPr>
          <w:t>80</w:t>
        </w:r>
        <w:r w:rsidR="00E22BDD">
          <w:rPr>
            <w:rFonts w:ascii="宋体" w:hAnsi="宋体" w:cs="宋体" w:hint="eastAsia"/>
            <w:kern w:val="0"/>
          </w:rPr>
          <w:fldChar w:fldCharType="end"/>
        </w:r>
      </w:hyperlink>
    </w:p>
    <w:p w:rsidR="00E37845" w:rsidRDefault="001B499F">
      <w:pPr>
        <w:pStyle w:val="TOC1"/>
        <w:tabs>
          <w:tab w:val="right" w:leader="dot" w:pos="9015"/>
        </w:tabs>
        <w:jc w:val="center"/>
        <w:rPr>
          <w:rFonts w:ascii="方正小标宋简体" w:eastAsia="方正小标宋简体" w:hAnsi="方正小标宋简体" w:cs="方正小标宋简体"/>
          <w:b/>
          <w:bCs/>
          <w:sz w:val="24"/>
          <w:szCs w:val="24"/>
        </w:rPr>
      </w:pPr>
      <w:hyperlink w:anchor="_Toc5500" w:history="1">
        <w:r w:rsidR="00E22BDD">
          <w:rPr>
            <w:rFonts w:ascii="方正小标宋简体" w:eastAsia="方正小标宋简体" w:hAnsi="方正小标宋简体" w:cs="方正小标宋简体" w:hint="eastAsia"/>
            <w:b/>
            <w:bCs/>
            <w:sz w:val="24"/>
            <w:szCs w:val="24"/>
          </w:rPr>
          <w:t>第四篇  财务、设备及对外交流</w:t>
        </w:r>
      </w:hyperlink>
    </w:p>
    <w:p w:rsidR="00E37845" w:rsidRDefault="001B499F">
      <w:pPr>
        <w:pStyle w:val="TOC1"/>
        <w:tabs>
          <w:tab w:val="right" w:leader="dot" w:pos="9015"/>
        </w:tabs>
        <w:rPr>
          <w:rFonts w:ascii="宋体" w:hAnsi="宋体" w:cs="宋体"/>
        </w:rPr>
      </w:pPr>
      <w:hyperlink w:anchor="_Toc20847" w:history="1">
        <w:r w:rsidR="00E22BDD">
          <w:rPr>
            <w:rFonts w:ascii="宋体" w:hAnsi="宋体" w:cs="宋体" w:hint="eastAsia"/>
          </w:rPr>
          <w:t>8.财务</w:t>
        </w:r>
        <w:r w:rsidR="00E22BDD">
          <w:rPr>
            <w:rFonts w:ascii="宋体" w:hAnsi="宋体" w:cs="宋体" w:hint="eastAsia"/>
          </w:rPr>
          <w:tab/>
        </w:r>
        <w:r w:rsidR="00E22BDD">
          <w:rPr>
            <w:rFonts w:ascii="宋体" w:hAnsi="宋体" w:cs="宋体" w:hint="eastAsia"/>
          </w:rPr>
          <w:fldChar w:fldCharType="begin"/>
        </w:r>
        <w:r w:rsidR="00E22BDD">
          <w:rPr>
            <w:rFonts w:ascii="宋体" w:hAnsi="宋体" w:cs="宋体" w:hint="eastAsia"/>
          </w:rPr>
          <w:instrText xml:space="preserve"> PAGEREF _Toc20847 </w:instrText>
        </w:r>
        <w:r w:rsidR="00E22BDD">
          <w:rPr>
            <w:rFonts w:ascii="宋体" w:hAnsi="宋体" w:cs="宋体" w:hint="eastAsia"/>
          </w:rPr>
          <w:fldChar w:fldCharType="separate"/>
        </w:r>
        <w:r w:rsidR="00E22BDD">
          <w:rPr>
            <w:rFonts w:ascii="宋体" w:hAnsi="宋体" w:cs="宋体" w:hint="eastAsia"/>
          </w:rPr>
          <w:t>81</w:t>
        </w:r>
        <w:r w:rsidR="00E22BDD">
          <w:rPr>
            <w:rFonts w:ascii="宋体" w:hAnsi="宋体" w:cs="宋体" w:hint="eastAsia"/>
          </w:rPr>
          <w:fldChar w:fldCharType="end"/>
        </w:r>
      </w:hyperlink>
    </w:p>
    <w:p w:rsidR="00E37845" w:rsidRDefault="001B499F">
      <w:pPr>
        <w:pStyle w:val="TOC2"/>
        <w:tabs>
          <w:tab w:val="right" w:leader="dot" w:pos="9015"/>
        </w:tabs>
        <w:rPr>
          <w:rFonts w:ascii="宋体" w:hAnsi="宋体" w:cs="宋体"/>
          <w:kern w:val="0"/>
        </w:rPr>
      </w:pPr>
      <w:hyperlink w:anchor="_Toc11215" w:history="1">
        <w:r w:rsidR="00E22BDD">
          <w:rPr>
            <w:rFonts w:ascii="宋体" w:hAnsi="宋体" w:cs="宋体" w:hint="eastAsia"/>
            <w:kern w:val="0"/>
          </w:rPr>
          <w:t>8.1中央明令禁止（“红线”）清单</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_Toc11215 </w:instrText>
        </w:r>
        <w:r w:rsidR="00E22BDD">
          <w:rPr>
            <w:rFonts w:ascii="宋体" w:hAnsi="宋体" w:cs="宋体" w:hint="eastAsia"/>
            <w:kern w:val="0"/>
          </w:rPr>
          <w:fldChar w:fldCharType="separate"/>
        </w:r>
        <w:r w:rsidR="00E22BDD">
          <w:rPr>
            <w:rFonts w:ascii="宋体" w:hAnsi="宋体" w:cs="宋体" w:hint="eastAsia"/>
            <w:kern w:val="0"/>
          </w:rPr>
          <w:t>81</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305" w:history="1">
        <w:r w:rsidR="00E22BDD">
          <w:rPr>
            <w:rFonts w:ascii="宋体" w:hAnsi="宋体" w:cs="宋体" w:hint="eastAsia"/>
            <w:kern w:val="0"/>
          </w:rPr>
          <w:t>8.2经费支出审批权限</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_Toc305 </w:instrText>
        </w:r>
        <w:r w:rsidR="00E22BDD">
          <w:rPr>
            <w:rFonts w:ascii="宋体" w:hAnsi="宋体" w:cs="宋体" w:hint="eastAsia"/>
            <w:kern w:val="0"/>
          </w:rPr>
          <w:fldChar w:fldCharType="separate"/>
        </w:r>
        <w:r w:rsidR="00E22BDD">
          <w:rPr>
            <w:rFonts w:ascii="宋体" w:hAnsi="宋体" w:cs="宋体" w:hint="eastAsia"/>
            <w:kern w:val="0"/>
          </w:rPr>
          <w:t>83</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6103" w:history="1">
        <w:r w:rsidR="00E22BDD">
          <w:rPr>
            <w:rFonts w:ascii="宋体" w:hAnsi="宋体" w:cs="宋体" w:hint="eastAsia"/>
            <w:kern w:val="0"/>
          </w:rPr>
          <w:t>8.3经费支出主要开支标准</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_Toc26103 </w:instrText>
        </w:r>
        <w:r w:rsidR="00E22BDD">
          <w:rPr>
            <w:rFonts w:ascii="宋体" w:hAnsi="宋体" w:cs="宋体" w:hint="eastAsia"/>
            <w:kern w:val="0"/>
          </w:rPr>
          <w:fldChar w:fldCharType="separate"/>
        </w:r>
        <w:r w:rsidR="00E22BDD">
          <w:rPr>
            <w:rFonts w:ascii="宋体" w:hAnsi="宋体" w:cs="宋体" w:hint="eastAsia"/>
            <w:kern w:val="0"/>
          </w:rPr>
          <w:t>84</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4502" w:history="1">
        <w:r w:rsidR="00E22BDD">
          <w:rPr>
            <w:rFonts w:ascii="宋体" w:hAnsi="宋体" w:cs="宋体" w:hint="eastAsia"/>
            <w:kern w:val="0"/>
          </w:rPr>
          <w:t>8.3.1国内差旅费标准</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_Toc4502 </w:instrText>
        </w:r>
        <w:r w:rsidR="00E22BDD">
          <w:rPr>
            <w:rFonts w:ascii="宋体" w:hAnsi="宋体" w:cs="宋体" w:hint="eastAsia"/>
            <w:kern w:val="0"/>
          </w:rPr>
          <w:fldChar w:fldCharType="separate"/>
        </w:r>
        <w:r w:rsidR="00E22BDD">
          <w:rPr>
            <w:rFonts w:ascii="宋体" w:hAnsi="宋体" w:cs="宋体" w:hint="eastAsia"/>
            <w:kern w:val="0"/>
          </w:rPr>
          <w:t>84</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9943" w:history="1">
        <w:r w:rsidR="00E22BDD">
          <w:rPr>
            <w:rFonts w:ascii="宋体" w:hAnsi="宋体" w:cs="宋体" w:hint="eastAsia"/>
            <w:kern w:val="0"/>
          </w:rPr>
          <w:t>8.3.1.1国内差旅费</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_Toc9943 </w:instrText>
        </w:r>
        <w:r w:rsidR="00E22BDD">
          <w:rPr>
            <w:rFonts w:ascii="宋体" w:hAnsi="宋体" w:cs="宋体" w:hint="eastAsia"/>
            <w:kern w:val="0"/>
          </w:rPr>
          <w:fldChar w:fldCharType="separate"/>
        </w:r>
        <w:r w:rsidR="00E22BDD">
          <w:rPr>
            <w:rFonts w:ascii="宋体" w:hAnsi="宋体" w:cs="宋体" w:hint="eastAsia"/>
            <w:kern w:val="0"/>
          </w:rPr>
          <w:t>84</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7883" w:history="1">
        <w:r w:rsidR="00E22BDD">
          <w:rPr>
            <w:rFonts w:ascii="宋体" w:hAnsi="宋体" w:cs="宋体" w:hint="eastAsia"/>
            <w:kern w:val="0"/>
          </w:rPr>
          <w:t>8.3.1.2开支标准</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_Toc27883 </w:instrText>
        </w:r>
        <w:r w:rsidR="00E22BDD">
          <w:rPr>
            <w:rFonts w:ascii="宋体" w:hAnsi="宋体" w:cs="宋体" w:hint="eastAsia"/>
            <w:kern w:val="0"/>
          </w:rPr>
          <w:fldChar w:fldCharType="separate"/>
        </w:r>
        <w:r w:rsidR="00E22BDD">
          <w:rPr>
            <w:rFonts w:ascii="宋体" w:hAnsi="宋体" w:cs="宋体" w:hint="eastAsia"/>
            <w:kern w:val="0"/>
          </w:rPr>
          <w:t>84</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4219" w:history="1">
        <w:r w:rsidR="00E22BDD">
          <w:rPr>
            <w:rFonts w:ascii="宋体" w:hAnsi="宋体" w:cs="宋体" w:hint="eastAsia"/>
            <w:kern w:val="0"/>
          </w:rPr>
          <w:t>8.3.3培训费标准</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_Toc24219 </w:instrText>
        </w:r>
        <w:r w:rsidR="00E22BDD">
          <w:rPr>
            <w:rFonts w:ascii="宋体" w:hAnsi="宋体" w:cs="宋体" w:hint="eastAsia"/>
            <w:kern w:val="0"/>
          </w:rPr>
          <w:fldChar w:fldCharType="separate"/>
        </w:r>
        <w:r w:rsidR="00E22BDD">
          <w:rPr>
            <w:rFonts w:ascii="宋体" w:hAnsi="宋体" w:cs="宋体" w:hint="eastAsia"/>
            <w:kern w:val="0"/>
          </w:rPr>
          <w:t>86</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7942" w:history="1">
        <w:r w:rsidR="00E22BDD">
          <w:rPr>
            <w:rFonts w:ascii="宋体" w:hAnsi="宋体" w:cs="宋体" w:hint="eastAsia"/>
            <w:kern w:val="0"/>
          </w:rPr>
          <w:t>8.3.4误餐费夜餐费标准</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_Toc17942 </w:instrText>
        </w:r>
        <w:r w:rsidR="00E22BDD">
          <w:rPr>
            <w:rFonts w:ascii="宋体" w:hAnsi="宋体" w:cs="宋体" w:hint="eastAsia"/>
            <w:kern w:val="0"/>
          </w:rPr>
          <w:fldChar w:fldCharType="separate"/>
        </w:r>
        <w:r w:rsidR="00E22BDD">
          <w:rPr>
            <w:rFonts w:ascii="宋体" w:hAnsi="宋体" w:cs="宋体" w:hint="eastAsia"/>
            <w:kern w:val="0"/>
          </w:rPr>
          <w:t>87</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4810" w:history="1">
        <w:r w:rsidR="00E22BDD">
          <w:rPr>
            <w:rFonts w:ascii="宋体" w:hAnsi="宋体" w:cs="宋体" w:hint="eastAsia"/>
            <w:kern w:val="0"/>
          </w:rPr>
          <w:t>8.4公务卡办理使用</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_Toc14810 </w:instrText>
        </w:r>
        <w:r w:rsidR="00E22BDD">
          <w:rPr>
            <w:rFonts w:ascii="宋体" w:hAnsi="宋体" w:cs="宋体" w:hint="eastAsia"/>
            <w:kern w:val="0"/>
          </w:rPr>
          <w:fldChar w:fldCharType="separate"/>
        </w:r>
        <w:r w:rsidR="00E22BDD">
          <w:rPr>
            <w:rFonts w:ascii="宋体" w:hAnsi="宋体" w:cs="宋体" w:hint="eastAsia"/>
            <w:kern w:val="0"/>
          </w:rPr>
          <w:t>87</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32264" w:history="1">
        <w:r w:rsidR="00E22BDD">
          <w:rPr>
            <w:rFonts w:ascii="宋体" w:hAnsi="宋体" w:cs="宋体" w:hint="eastAsia"/>
            <w:kern w:val="0"/>
          </w:rPr>
          <w:t>8.4.1公务卡办理</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_Toc32264 </w:instrText>
        </w:r>
        <w:r w:rsidR="00E22BDD">
          <w:rPr>
            <w:rFonts w:ascii="宋体" w:hAnsi="宋体" w:cs="宋体" w:hint="eastAsia"/>
            <w:kern w:val="0"/>
          </w:rPr>
          <w:fldChar w:fldCharType="separate"/>
        </w:r>
        <w:r w:rsidR="00E22BDD">
          <w:rPr>
            <w:rFonts w:ascii="宋体" w:hAnsi="宋体" w:cs="宋体" w:hint="eastAsia"/>
            <w:kern w:val="0"/>
          </w:rPr>
          <w:t>87</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31167" w:history="1">
        <w:r w:rsidR="00E22BDD">
          <w:rPr>
            <w:rFonts w:ascii="宋体" w:hAnsi="宋体" w:cs="宋体" w:hint="eastAsia"/>
            <w:kern w:val="0"/>
          </w:rPr>
          <w:t>8.4.2公务卡结算</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_Toc31167 </w:instrText>
        </w:r>
        <w:r w:rsidR="00E22BDD">
          <w:rPr>
            <w:rFonts w:ascii="宋体" w:hAnsi="宋体" w:cs="宋体" w:hint="eastAsia"/>
            <w:kern w:val="0"/>
          </w:rPr>
          <w:fldChar w:fldCharType="separate"/>
        </w:r>
        <w:r w:rsidR="00E22BDD">
          <w:rPr>
            <w:rFonts w:ascii="宋体" w:hAnsi="宋体" w:cs="宋体" w:hint="eastAsia"/>
            <w:kern w:val="0"/>
          </w:rPr>
          <w:t>87</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6083" w:history="1">
        <w:r w:rsidR="00E22BDD">
          <w:rPr>
            <w:rFonts w:ascii="宋体" w:hAnsi="宋体" w:cs="宋体" w:hint="eastAsia"/>
            <w:kern w:val="0"/>
          </w:rPr>
          <w:t>8.5资产管理</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_Toc6083 </w:instrText>
        </w:r>
        <w:r w:rsidR="00E22BDD">
          <w:rPr>
            <w:rFonts w:ascii="宋体" w:hAnsi="宋体" w:cs="宋体" w:hint="eastAsia"/>
            <w:kern w:val="0"/>
          </w:rPr>
          <w:fldChar w:fldCharType="separate"/>
        </w:r>
        <w:r w:rsidR="00E22BDD">
          <w:rPr>
            <w:rFonts w:ascii="宋体" w:hAnsi="宋体" w:cs="宋体" w:hint="eastAsia"/>
            <w:kern w:val="0"/>
          </w:rPr>
          <w:t>88</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6515" w:history="1">
        <w:r w:rsidR="00E22BDD">
          <w:rPr>
            <w:rFonts w:ascii="宋体" w:hAnsi="宋体" w:cs="宋体" w:hint="eastAsia"/>
            <w:kern w:val="0"/>
          </w:rPr>
          <w:t>8.5.1固定资产</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_Toc6515 </w:instrText>
        </w:r>
        <w:r w:rsidR="00E22BDD">
          <w:rPr>
            <w:rFonts w:ascii="宋体" w:hAnsi="宋体" w:cs="宋体" w:hint="eastAsia"/>
            <w:kern w:val="0"/>
          </w:rPr>
          <w:fldChar w:fldCharType="separate"/>
        </w:r>
        <w:r w:rsidR="00E22BDD">
          <w:rPr>
            <w:rFonts w:ascii="宋体" w:hAnsi="宋体" w:cs="宋体" w:hint="eastAsia"/>
            <w:kern w:val="0"/>
          </w:rPr>
          <w:t>88</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8245" w:history="1">
        <w:r w:rsidR="00E22BDD">
          <w:rPr>
            <w:rFonts w:ascii="宋体" w:hAnsi="宋体" w:cs="宋体" w:hint="eastAsia"/>
            <w:kern w:val="0"/>
          </w:rPr>
          <w:t>8.5.2材料和低值品、易耗品</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_Toc8245 </w:instrText>
        </w:r>
        <w:r w:rsidR="00E22BDD">
          <w:rPr>
            <w:rFonts w:ascii="宋体" w:hAnsi="宋体" w:cs="宋体" w:hint="eastAsia"/>
            <w:kern w:val="0"/>
          </w:rPr>
          <w:fldChar w:fldCharType="separate"/>
        </w:r>
        <w:r w:rsidR="00E22BDD">
          <w:rPr>
            <w:rFonts w:ascii="宋体" w:hAnsi="宋体" w:cs="宋体" w:hint="eastAsia"/>
            <w:kern w:val="0"/>
          </w:rPr>
          <w:t>88</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5037" w:history="1">
        <w:r w:rsidR="00E22BDD">
          <w:rPr>
            <w:rFonts w:ascii="宋体" w:hAnsi="宋体" w:cs="宋体" w:hint="eastAsia"/>
            <w:kern w:val="0"/>
          </w:rPr>
          <w:t>8.6合同管理流程</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_Toc5037 </w:instrText>
        </w:r>
        <w:r w:rsidR="00E22BDD">
          <w:rPr>
            <w:rFonts w:ascii="宋体" w:hAnsi="宋体" w:cs="宋体" w:hint="eastAsia"/>
            <w:kern w:val="0"/>
          </w:rPr>
          <w:fldChar w:fldCharType="separate"/>
        </w:r>
        <w:r w:rsidR="00E22BDD">
          <w:rPr>
            <w:rFonts w:ascii="宋体" w:hAnsi="宋体" w:cs="宋体" w:hint="eastAsia"/>
            <w:kern w:val="0"/>
          </w:rPr>
          <w:t>88</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4703" w:history="1">
        <w:r w:rsidR="00E22BDD">
          <w:rPr>
            <w:rFonts w:ascii="宋体" w:hAnsi="宋体" w:cs="宋体" w:hint="eastAsia"/>
            <w:kern w:val="0"/>
          </w:rPr>
          <w:t>8.6.1合同订立起点</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_Toc24703 </w:instrText>
        </w:r>
        <w:r w:rsidR="00E22BDD">
          <w:rPr>
            <w:rFonts w:ascii="宋体" w:hAnsi="宋体" w:cs="宋体" w:hint="eastAsia"/>
            <w:kern w:val="0"/>
          </w:rPr>
          <w:fldChar w:fldCharType="separate"/>
        </w:r>
        <w:r w:rsidR="00E22BDD">
          <w:rPr>
            <w:rFonts w:ascii="宋体" w:hAnsi="宋体" w:cs="宋体" w:hint="eastAsia"/>
            <w:kern w:val="0"/>
          </w:rPr>
          <w:t>88</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316" w:history="1">
        <w:r w:rsidR="00E22BDD">
          <w:rPr>
            <w:rFonts w:ascii="宋体" w:hAnsi="宋体" w:cs="宋体" w:hint="eastAsia"/>
            <w:kern w:val="0"/>
          </w:rPr>
          <w:t>8.6.2合同管理流程</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_Toc2316 </w:instrText>
        </w:r>
        <w:r w:rsidR="00E22BDD">
          <w:rPr>
            <w:rFonts w:ascii="宋体" w:hAnsi="宋体" w:cs="宋体" w:hint="eastAsia"/>
            <w:kern w:val="0"/>
          </w:rPr>
          <w:fldChar w:fldCharType="separate"/>
        </w:r>
        <w:r w:rsidR="00E22BDD">
          <w:rPr>
            <w:rFonts w:ascii="宋体" w:hAnsi="宋体" w:cs="宋体" w:hint="eastAsia"/>
            <w:kern w:val="0"/>
          </w:rPr>
          <w:t>89</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5193" w:history="1">
        <w:r w:rsidR="00E22BDD">
          <w:rPr>
            <w:rFonts w:ascii="宋体" w:hAnsi="宋体" w:cs="宋体" w:hint="eastAsia"/>
            <w:kern w:val="0"/>
          </w:rPr>
          <w:t>8.7网上预约报账流程</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_Toc5193 </w:instrText>
        </w:r>
        <w:r w:rsidR="00E22BDD">
          <w:rPr>
            <w:rFonts w:ascii="宋体" w:hAnsi="宋体" w:cs="宋体" w:hint="eastAsia"/>
            <w:kern w:val="0"/>
          </w:rPr>
          <w:fldChar w:fldCharType="separate"/>
        </w:r>
        <w:r w:rsidR="00E22BDD">
          <w:rPr>
            <w:rFonts w:ascii="宋体" w:hAnsi="宋体" w:cs="宋体" w:hint="eastAsia"/>
            <w:kern w:val="0"/>
          </w:rPr>
          <w:t>90</w:t>
        </w:r>
        <w:r w:rsidR="00E22BDD">
          <w:rPr>
            <w:rFonts w:ascii="宋体" w:hAnsi="宋体" w:cs="宋体" w:hint="eastAsia"/>
            <w:kern w:val="0"/>
          </w:rPr>
          <w:fldChar w:fldCharType="end"/>
        </w:r>
      </w:hyperlink>
    </w:p>
    <w:p w:rsidR="00E37845" w:rsidRDefault="001B499F">
      <w:pPr>
        <w:pStyle w:val="TOC1"/>
        <w:tabs>
          <w:tab w:val="right" w:leader="dot" w:pos="9015"/>
        </w:tabs>
        <w:rPr>
          <w:rFonts w:ascii="宋体" w:hAnsi="宋体" w:cs="宋体"/>
        </w:rPr>
      </w:pPr>
      <w:hyperlink w:anchor="_Toc3605" w:history="1">
        <w:r w:rsidR="00E22BDD">
          <w:rPr>
            <w:rFonts w:ascii="宋体" w:hAnsi="宋体" w:cs="宋体" w:hint="eastAsia"/>
          </w:rPr>
          <w:t>9.实验设备、实验室管理</w:t>
        </w:r>
        <w:r w:rsidR="00E22BDD">
          <w:rPr>
            <w:rFonts w:ascii="宋体" w:hAnsi="宋体" w:cs="宋体" w:hint="eastAsia"/>
          </w:rPr>
          <w:tab/>
        </w:r>
        <w:r w:rsidR="00E22BDD">
          <w:rPr>
            <w:rFonts w:ascii="宋体" w:hAnsi="宋体" w:cs="宋体" w:hint="eastAsia"/>
          </w:rPr>
          <w:fldChar w:fldCharType="begin"/>
        </w:r>
        <w:r w:rsidR="00E22BDD">
          <w:rPr>
            <w:rFonts w:ascii="宋体" w:hAnsi="宋体" w:cs="宋体" w:hint="eastAsia"/>
          </w:rPr>
          <w:instrText xml:space="preserve"> PAGEREF _Toc3605 </w:instrText>
        </w:r>
        <w:r w:rsidR="00E22BDD">
          <w:rPr>
            <w:rFonts w:ascii="宋体" w:hAnsi="宋体" w:cs="宋体" w:hint="eastAsia"/>
          </w:rPr>
          <w:fldChar w:fldCharType="separate"/>
        </w:r>
        <w:r w:rsidR="00E22BDD">
          <w:rPr>
            <w:rFonts w:ascii="宋体" w:hAnsi="宋体" w:cs="宋体" w:hint="eastAsia"/>
          </w:rPr>
          <w:t>91</w:t>
        </w:r>
        <w:r w:rsidR="00E22BDD">
          <w:rPr>
            <w:rFonts w:ascii="宋体" w:hAnsi="宋体" w:cs="宋体" w:hint="eastAsia"/>
          </w:rPr>
          <w:fldChar w:fldCharType="end"/>
        </w:r>
      </w:hyperlink>
    </w:p>
    <w:p w:rsidR="00E37845" w:rsidRDefault="001B499F">
      <w:pPr>
        <w:pStyle w:val="TOC2"/>
        <w:tabs>
          <w:tab w:val="right" w:leader="dot" w:pos="9015"/>
        </w:tabs>
        <w:rPr>
          <w:rFonts w:ascii="宋体" w:hAnsi="宋体" w:cs="宋体"/>
          <w:kern w:val="0"/>
        </w:rPr>
      </w:pPr>
      <w:hyperlink w:anchor="_Toc3995" w:history="1">
        <w:r w:rsidR="00E22BDD">
          <w:rPr>
            <w:rFonts w:ascii="宋体" w:hAnsi="宋体" w:cs="宋体" w:hint="eastAsia"/>
            <w:kern w:val="0"/>
          </w:rPr>
          <w:t>9.1实验室管理主要规定</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_Toc3995 </w:instrText>
        </w:r>
        <w:r w:rsidR="00E22BDD">
          <w:rPr>
            <w:rFonts w:ascii="宋体" w:hAnsi="宋体" w:cs="宋体" w:hint="eastAsia"/>
            <w:kern w:val="0"/>
          </w:rPr>
          <w:fldChar w:fldCharType="separate"/>
        </w:r>
        <w:r w:rsidR="00E22BDD">
          <w:rPr>
            <w:rFonts w:ascii="宋体" w:hAnsi="宋体" w:cs="宋体" w:hint="eastAsia"/>
            <w:kern w:val="0"/>
          </w:rPr>
          <w:t>91</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4841" w:history="1">
        <w:r w:rsidR="00E22BDD">
          <w:rPr>
            <w:rFonts w:ascii="宋体" w:hAnsi="宋体" w:cs="宋体" w:hint="eastAsia"/>
            <w:kern w:val="0"/>
          </w:rPr>
          <w:t>9.2设备管理（详见广大[2017]336号及2个配套文件）</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_Toc14841 </w:instrText>
        </w:r>
        <w:r w:rsidR="00E22BDD">
          <w:rPr>
            <w:rFonts w:ascii="宋体" w:hAnsi="宋体" w:cs="宋体" w:hint="eastAsia"/>
            <w:kern w:val="0"/>
          </w:rPr>
          <w:fldChar w:fldCharType="separate"/>
        </w:r>
        <w:r w:rsidR="00E22BDD">
          <w:rPr>
            <w:rFonts w:ascii="宋体" w:hAnsi="宋体" w:cs="宋体" w:hint="eastAsia"/>
            <w:kern w:val="0"/>
          </w:rPr>
          <w:t>91</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31492" w:history="1">
        <w:r w:rsidR="00E22BDD">
          <w:rPr>
            <w:rFonts w:ascii="宋体" w:hAnsi="宋体" w:cs="宋体" w:hint="eastAsia"/>
            <w:kern w:val="0"/>
          </w:rPr>
          <w:t>9.3采购管理</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_Toc31492 </w:instrText>
        </w:r>
        <w:r w:rsidR="00E22BDD">
          <w:rPr>
            <w:rFonts w:ascii="宋体" w:hAnsi="宋体" w:cs="宋体" w:hint="eastAsia"/>
            <w:kern w:val="0"/>
          </w:rPr>
          <w:fldChar w:fldCharType="separate"/>
        </w:r>
        <w:r w:rsidR="00E22BDD">
          <w:rPr>
            <w:rFonts w:ascii="宋体" w:hAnsi="宋体" w:cs="宋体" w:hint="eastAsia"/>
            <w:kern w:val="0"/>
          </w:rPr>
          <w:t>92</w:t>
        </w:r>
        <w:r w:rsidR="00E22BDD">
          <w:rPr>
            <w:rFonts w:ascii="宋体" w:hAnsi="宋体" w:cs="宋体" w:hint="eastAsia"/>
            <w:kern w:val="0"/>
          </w:rPr>
          <w:fldChar w:fldCharType="end"/>
        </w:r>
      </w:hyperlink>
    </w:p>
    <w:p w:rsidR="00E37845" w:rsidRDefault="001B499F">
      <w:pPr>
        <w:pStyle w:val="TOC1"/>
        <w:tabs>
          <w:tab w:val="right" w:leader="dot" w:pos="9015"/>
        </w:tabs>
        <w:rPr>
          <w:rFonts w:ascii="宋体" w:hAnsi="宋体" w:cs="宋体"/>
          <w:color w:val="0000FF"/>
          <w:kern w:val="0"/>
          <w:u w:val="single"/>
        </w:rPr>
      </w:pPr>
      <w:hyperlink w:anchor="_Toc20644" w:history="1">
        <w:r w:rsidR="00E22BDD">
          <w:rPr>
            <w:rFonts w:ascii="宋体" w:hAnsi="宋体" w:cs="宋体" w:hint="eastAsia"/>
            <w:color w:val="0000FF"/>
            <w:kern w:val="0"/>
            <w:u w:val="single"/>
          </w:rPr>
          <w:t>10.出国出境和对外学术交流</w:t>
        </w:r>
        <w:r w:rsidR="00E22BDD">
          <w:rPr>
            <w:rFonts w:ascii="宋体" w:hAnsi="宋体" w:cs="宋体" w:hint="eastAsia"/>
            <w:color w:val="0000FF"/>
            <w:kern w:val="0"/>
            <w:u w:val="single"/>
          </w:rPr>
          <w:tab/>
        </w:r>
        <w:r w:rsidR="00E22BDD">
          <w:rPr>
            <w:rFonts w:ascii="宋体" w:hAnsi="宋体" w:cs="宋体" w:hint="eastAsia"/>
            <w:color w:val="0000FF"/>
            <w:kern w:val="0"/>
            <w:u w:val="single"/>
          </w:rPr>
          <w:fldChar w:fldCharType="begin"/>
        </w:r>
        <w:r w:rsidR="00E22BDD">
          <w:rPr>
            <w:rFonts w:ascii="宋体" w:hAnsi="宋体" w:cs="宋体" w:hint="eastAsia"/>
            <w:color w:val="0000FF"/>
            <w:kern w:val="0"/>
            <w:u w:val="single"/>
          </w:rPr>
          <w:instrText xml:space="preserve"> PAGEREF _Toc20644 </w:instrText>
        </w:r>
        <w:r w:rsidR="00E22BDD">
          <w:rPr>
            <w:rFonts w:ascii="宋体" w:hAnsi="宋体" w:cs="宋体" w:hint="eastAsia"/>
            <w:color w:val="0000FF"/>
            <w:kern w:val="0"/>
            <w:u w:val="single"/>
          </w:rPr>
          <w:fldChar w:fldCharType="separate"/>
        </w:r>
        <w:r w:rsidR="00E22BDD">
          <w:rPr>
            <w:rFonts w:ascii="宋体" w:hAnsi="宋体" w:cs="宋体" w:hint="eastAsia"/>
            <w:color w:val="0000FF"/>
            <w:kern w:val="0"/>
            <w:u w:val="single"/>
          </w:rPr>
          <w:t>96</w:t>
        </w:r>
        <w:r w:rsidR="00E22BDD">
          <w:rPr>
            <w:rFonts w:ascii="宋体" w:hAnsi="宋体" w:cs="宋体" w:hint="eastAsia"/>
            <w:color w:val="0000FF"/>
            <w:kern w:val="0"/>
            <w:u w:val="single"/>
          </w:rPr>
          <w:fldChar w:fldCharType="end"/>
        </w:r>
      </w:hyperlink>
    </w:p>
    <w:p w:rsidR="00E37845" w:rsidRDefault="001B499F">
      <w:pPr>
        <w:pStyle w:val="TOC2"/>
        <w:tabs>
          <w:tab w:val="right" w:leader="dot" w:pos="9015"/>
        </w:tabs>
        <w:rPr>
          <w:rFonts w:ascii="宋体" w:hAnsi="宋体" w:cs="宋体"/>
          <w:kern w:val="0"/>
        </w:rPr>
      </w:pPr>
      <w:hyperlink w:anchor="_Toc14827" w:history="1">
        <w:r w:rsidR="00E22BDD">
          <w:rPr>
            <w:rFonts w:ascii="宋体" w:hAnsi="宋体" w:cs="宋体" w:hint="eastAsia"/>
            <w:kern w:val="0"/>
          </w:rPr>
          <w:t>10.1因公临时出国（境）访问规定（详见（广大〔2014〕96号）</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_Toc14827 </w:instrText>
        </w:r>
        <w:r w:rsidR="00E22BDD">
          <w:rPr>
            <w:rFonts w:ascii="宋体" w:hAnsi="宋体" w:cs="宋体" w:hint="eastAsia"/>
            <w:kern w:val="0"/>
          </w:rPr>
          <w:fldChar w:fldCharType="separate"/>
        </w:r>
        <w:r w:rsidR="00E22BDD">
          <w:rPr>
            <w:rFonts w:ascii="宋体" w:hAnsi="宋体" w:cs="宋体" w:hint="eastAsia"/>
            <w:kern w:val="0"/>
          </w:rPr>
          <w:t>96</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5164" w:history="1">
        <w:r w:rsidR="00E22BDD">
          <w:rPr>
            <w:rFonts w:ascii="宋体" w:hAnsi="宋体" w:cs="宋体" w:hint="eastAsia"/>
            <w:kern w:val="0"/>
          </w:rPr>
          <w:t>10.2教学科研人员因公临时出国管理工作实施办法（广大〔2016〕257号）</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_Toc25164 </w:instrText>
        </w:r>
        <w:r w:rsidR="00E22BDD">
          <w:rPr>
            <w:rFonts w:ascii="宋体" w:hAnsi="宋体" w:cs="宋体" w:hint="eastAsia"/>
            <w:kern w:val="0"/>
          </w:rPr>
          <w:fldChar w:fldCharType="separate"/>
        </w:r>
        <w:r w:rsidR="00E22BDD">
          <w:rPr>
            <w:rFonts w:ascii="宋体" w:hAnsi="宋体" w:cs="宋体" w:hint="eastAsia"/>
            <w:kern w:val="0"/>
          </w:rPr>
          <w:t>96</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5241" w:history="1">
        <w:r w:rsidR="00E22BDD">
          <w:rPr>
            <w:rFonts w:ascii="宋体" w:hAnsi="宋体" w:cs="宋体" w:hint="eastAsia"/>
            <w:kern w:val="0"/>
          </w:rPr>
          <w:t>10.3因公临时出国手续办理流程</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_Toc5241 </w:instrText>
        </w:r>
        <w:r w:rsidR="00E22BDD">
          <w:rPr>
            <w:rFonts w:ascii="宋体" w:hAnsi="宋体" w:cs="宋体" w:hint="eastAsia"/>
            <w:kern w:val="0"/>
          </w:rPr>
          <w:fldChar w:fldCharType="separate"/>
        </w:r>
        <w:r w:rsidR="00E22BDD">
          <w:rPr>
            <w:rFonts w:ascii="宋体" w:hAnsi="宋体" w:cs="宋体" w:hint="eastAsia"/>
            <w:kern w:val="0"/>
          </w:rPr>
          <w:t>98</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3362" w:history="1">
        <w:r w:rsidR="00E22BDD">
          <w:rPr>
            <w:rFonts w:ascii="宋体" w:hAnsi="宋体" w:cs="宋体" w:hint="eastAsia"/>
            <w:kern w:val="0"/>
          </w:rPr>
          <w:t>10.4因公赴港澳台任务批件手续</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_Toc13362 </w:instrText>
        </w:r>
        <w:r w:rsidR="00E22BDD">
          <w:rPr>
            <w:rFonts w:ascii="宋体" w:hAnsi="宋体" w:cs="宋体" w:hint="eastAsia"/>
            <w:kern w:val="0"/>
          </w:rPr>
          <w:fldChar w:fldCharType="separate"/>
        </w:r>
        <w:r w:rsidR="00E22BDD">
          <w:rPr>
            <w:rFonts w:ascii="宋体" w:hAnsi="宋体" w:cs="宋体" w:hint="eastAsia"/>
            <w:kern w:val="0"/>
          </w:rPr>
          <w:t>99</w:t>
        </w:r>
        <w:r w:rsidR="00E22BDD">
          <w:rPr>
            <w:rFonts w:ascii="宋体" w:hAnsi="宋体" w:cs="宋体" w:hint="eastAsia"/>
            <w:kern w:val="0"/>
          </w:rPr>
          <w:fldChar w:fldCharType="end"/>
        </w:r>
      </w:hyperlink>
    </w:p>
    <w:p w:rsidR="00E37845" w:rsidRDefault="00E37845">
      <w:pPr>
        <w:pStyle w:val="TOC1"/>
        <w:tabs>
          <w:tab w:val="right" w:leader="dot" w:pos="9015"/>
        </w:tabs>
        <w:jc w:val="center"/>
        <w:rPr>
          <w:rFonts w:ascii="宋体" w:hAnsi="宋体" w:cs="宋体"/>
          <w:color w:val="0000FF"/>
          <w:kern w:val="0"/>
          <w:u w:val="single"/>
        </w:rPr>
      </w:pPr>
    </w:p>
    <w:p w:rsidR="00E37845" w:rsidRDefault="001B499F">
      <w:pPr>
        <w:pStyle w:val="TOC1"/>
        <w:tabs>
          <w:tab w:val="right" w:leader="dot" w:pos="9015"/>
        </w:tabs>
        <w:jc w:val="center"/>
        <w:rPr>
          <w:rFonts w:ascii="宋体" w:hAnsi="宋体" w:cs="宋体"/>
          <w:b/>
          <w:bCs/>
        </w:rPr>
      </w:pPr>
      <w:hyperlink w:anchor="_Toc18875" w:history="1">
        <w:r w:rsidR="00E22BDD">
          <w:rPr>
            <w:rFonts w:ascii="方正小标宋简体" w:eastAsia="方正小标宋简体" w:hAnsi="方正小标宋简体" w:cs="方正小标宋简体" w:hint="eastAsia"/>
            <w:b/>
            <w:bCs/>
            <w:sz w:val="24"/>
            <w:szCs w:val="24"/>
          </w:rPr>
          <w:t>第五篇  公共资源与服务</w:t>
        </w:r>
      </w:hyperlink>
    </w:p>
    <w:p w:rsidR="00E37845" w:rsidRDefault="001B499F">
      <w:pPr>
        <w:pStyle w:val="TOC1"/>
        <w:tabs>
          <w:tab w:val="right" w:leader="dot" w:pos="9015"/>
        </w:tabs>
        <w:rPr>
          <w:rFonts w:ascii="宋体" w:hAnsi="宋体" w:cs="宋体"/>
        </w:rPr>
      </w:pPr>
      <w:hyperlink w:anchor="_Toc9398" w:history="1">
        <w:r w:rsidR="00E22BDD">
          <w:rPr>
            <w:rFonts w:ascii="宋体" w:hAnsi="宋体" w:cs="宋体" w:hint="eastAsia"/>
          </w:rPr>
          <w:t>11.公共资源与服务</w:t>
        </w:r>
        <w:r w:rsidR="00E22BDD">
          <w:rPr>
            <w:rFonts w:ascii="宋体" w:hAnsi="宋体" w:cs="宋体" w:hint="eastAsia"/>
          </w:rPr>
          <w:tab/>
        </w:r>
        <w:r w:rsidR="00E22BDD">
          <w:rPr>
            <w:rFonts w:ascii="宋体" w:hAnsi="宋体" w:cs="宋体" w:hint="eastAsia"/>
          </w:rPr>
          <w:fldChar w:fldCharType="begin"/>
        </w:r>
        <w:r w:rsidR="00E22BDD">
          <w:rPr>
            <w:rFonts w:ascii="宋体" w:hAnsi="宋体" w:cs="宋体" w:hint="eastAsia"/>
          </w:rPr>
          <w:instrText xml:space="preserve"> PAGEREF _Toc9398 </w:instrText>
        </w:r>
        <w:r w:rsidR="00E22BDD">
          <w:rPr>
            <w:rFonts w:ascii="宋体" w:hAnsi="宋体" w:cs="宋体" w:hint="eastAsia"/>
          </w:rPr>
          <w:fldChar w:fldCharType="separate"/>
        </w:r>
        <w:r w:rsidR="00E22BDD">
          <w:rPr>
            <w:rFonts w:ascii="宋体" w:hAnsi="宋体" w:cs="宋体" w:hint="eastAsia"/>
          </w:rPr>
          <w:t>103</w:t>
        </w:r>
        <w:r w:rsidR="00E22BDD">
          <w:rPr>
            <w:rFonts w:ascii="宋体" w:hAnsi="宋体" w:cs="宋体" w:hint="eastAsia"/>
          </w:rPr>
          <w:fldChar w:fldCharType="end"/>
        </w:r>
      </w:hyperlink>
    </w:p>
    <w:p w:rsidR="00E37845" w:rsidRDefault="001B499F">
      <w:pPr>
        <w:pStyle w:val="TOC2"/>
        <w:tabs>
          <w:tab w:val="right" w:leader="dot" w:pos="9015"/>
        </w:tabs>
        <w:rPr>
          <w:rFonts w:ascii="宋体" w:hAnsi="宋体" w:cs="宋体"/>
          <w:kern w:val="0"/>
        </w:rPr>
      </w:pPr>
      <w:hyperlink w:anchor="_Toc5101" w:history="1">
        <w:r w:rsidR="00E22BDD">
          <w:rPr>
            <w:rFonts w:ascii="宋体" w:hAnsi="宋体" w:cs="宋体" w:hint="eastAsia"/>
            <w:kern w:val="0"/>
          </w:rPr>
          <w:t>11.1图书馆服务事项及流程</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_Toc5101 </w:instrText>
        </w:r>
        <w:r w:rsidR="00E22BDD">
          <w:rPr>
            <w:rFonts w:ascii="宋体" w:hAnsi="宋体" w:cs="宋体" w:hint="eastAsia"/>
            <w:kern w:val="0"/>
          </w:rPr>
          <w:fldChar w:fldCharType="separate"/>
        </w:r>
        <w:r w:rsidR="00E22BDD">
          <w:rPr>
            <w:rFonts w:ascii="宋体" w:hAnsi="宋体" w:cs="宋体" w:hint="eastAsia"/>
            <w:kern w:val="0"/>
          </w:rPr>
          <w:t>103</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3328" w:history="1">
        <w:r w:rsidR="00E22BDD">
          <w:rPr>
            <w:rFonts w:ascii="宋体" w:hAnsi="宋体" w:cs="宋体" w:hint="eastAsia"/>
            <w:kern w:val="0"/>
          </w:rPr>
          <w:t>11.2校园安全保卫</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_Toc3328 </w:instrText>
        </w:r>
        <w:r w:rsidR="00E22BDD">
          <w:rPr>
            <w:rFonts w:ascii="宋体" w:hAnsi="宋体" w:cs="宋体" w:hint="eastAsia"/>
            <w:kern w:val="0"/>
          </w:rPr>
          <w:fldChar w:fldCharType="separate"/>
        </w:r>
        <w:r w:rsidR="00E22BDD">
          <w:rPr>
            <w:rFonts w:ascii="宋体" w:hAnsi="宋体" w:cs="宋体" w:hint="eastAsia"/>
            <w:kern w:val="0"/>
          </w:rPr>
          <w:t>107</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7210" w:history="1">
        <w:r w:rsidR="00E22BDD">
          <w:rPr>
            <w:rFonts w:ascii="宋体" w:hAnsi="宋体" w:cs="宋体" w:hint="eastAsia"/>
            <w:kern w:val="0"/>
          </w:rPr>
          <w:t>11.2.1学校总值班室工作职能</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_Toc17210 </w:instrText>
        </w:r>
        <w:r w:rsidR="00E22BDD">
          <w:rPr>
            <w:rFonts w:ascii="宋体" w:hAnsi="宋体" w:cs="宋体" w:hint="eastAsia"/>
            <w:kern w:val="0"/>
          </w:rPr>
          <w:fldChar w:fldCharType="separate"/>
        </w:r>
        <w:r w:rsidR="00E22BDD">
          <w:rPr>
            <w:rFonts w:ascii="宋体" w:hAnsi="宋体" w:cs="宋体" w:hint="eastAsia"/>
            <w:kern w:val="0"/>
          </w:rPr>
          <w:t>107</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0626" w:history="1">
        <w:r w:rsidR="00E22BDD">
          <w:rPr>
            <w:rFonts w:ascii="宋体" w:hAnsi="宋体" w:cs="宋体" w:hint="eastAsia"/>
            <w:kern w:val="0"/>
          </w:rPr>
          <w:t>11.2.2保卫处（武装部）各项业务办事指南</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_Toc20626 </w:instrText>
        </w:r>
        <w:r w:rsidR="00E22BDD">
          <w:rPr>
            <w:rFonts w:ascii="宋体" w:hAnsi="宋体" w:cs="宋体" w:hint="eastAsia"/>
            <w:kern w:val="0"/>
          </w:rPr>
          <w:fldChar w:fldCharType="separate"/>
        </w:r>
        <w:r w:rsidR="00E22BDD">
          <w:rPr>
            <w:rFonts w:ascii="宋体" w:hAnsi="宋体" w:cs="宋体" w:hint="eastAsia"/>
            <w:kern w:val="0"/>
          </w:rPr>
          <w:t>107</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7443" w:history="1">
        <w:r w:rsidR="00E22BDD">
          <w:rPr>
            <w:rFonts w:ascii="宋体" w:hAnsi="宋体" w:cs="宋体" w:hint="eastAsia"/>
            <w:kern w:val="0"/>
          </w:rPr>
          <w:t>11.3网络与现代教育技术中心相关业务指引</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_Toc27443 </w:instrText>
        </w:r>
        <w:r w:rsidR="00E22BDD">
          <w:rPr>
            <w:rFonts w:ascii="宋体" w:hAnsi="宋体" w:cs="宋体" w:hint="eastAsia"/>
            <w:kern w:val="0"/>
          </w:rPr>
          <w:fldChar w:fldCharType="separate"/>
        </w:r>
        <w:r w:rsidR="00E22BDD">
          <w:rPr>
            <w:rFonts w:ascii="宋体" w:hAnsi="宋体" w:cs="宋体" w:hint="eastAsia"/>
            <w:kern w:val="0"/>
          </w:rPr>
          <w:t>109</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818" w:history="1">
        <w:r w:rsidR="00E22BDD">
          <w:rPr>
            <w:rFonts w:ascii="宋体" w:hAnsi="宋体" w:cs="宋体" w:hint="eastAsia"/>
            <w:kern w:val="0"/>
          </w:rPr>
          <w:t>11.4后勤服务</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_Toc2818 </w:instrText>
        </w:r>
        <w:r w:rsidR="00E22BDD">
          <w:rPr>
            <w:rFonts w:ascii="宋体" w:hAnsi="宋体" w:cs="宋体" w:hint="eastAsia"/>
            <w:kern w:val="0"/>
          </w:rPr>
          <w:fldChar w:fldCharType="separate"/>
        </w:r>
        <w:r w:rsidR="00E22BDD">
          <w:rPr>
            <w:rFonts w:ascii="宋体" w:hAnsi="宋体" w:cs="宋体" w:hint="eastAsia"/>
            <w:kern w:val="0"/>
          </w:rPr>
          <w:t>113</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30065" w:history="1">
        <w:r w:rsidR="00E22BDD">
          <w:rPr>
            <w:rFonts w:ascii="宋体" w:hAnsi="宋体" w:cs="宋体" w:hint="eastAsia"/>
            <w:kern w:val="0"/>
          </w:rPr>
          <w:t>11.4.1教职工周转房安排程序</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_Toc30065 </w:instrText>
        </w:r>
        <w:r w:rsidR="00E22BDD">
          <w:rPr>
            <w:rFonts w:ascii="宋体" w:hAnsi="宋体" w:cs="宋体" w:hint="eastAsia"/>
            <w:kern w:val="0"/>
          </w:rPr>
          <w:fldChar w:fldCharType="separate"/>
        </w:r>
        <w:r w:rsidR="00E22BDD">
          <w:rPr>
            <w:rFonts w:ascii="宋体" w:hAnsi="宋体" w:cs="宋体" w:hint="eastAsia"/>
            <w:kern w:val="0"/>
          </w:rPr>
          <w:t>113</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9905" w:history="1">
        <w:r w:rsidR="00E22BDD">
          <w:rPr>
            <w:rFonts w:ascii="宋体" w:hAnsi="宋体" w:cs="宋体" w:hint="eastAsia"/>
            <w:kern w:val="0"/>
          </w:rPr>
          <w:t>11.4.2住房改革补贴办理流程</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_Toc19905 </w:instrText>
        </w:r>
        <w:r w:rsidR="00E22BDD">
          <w:rPr>
            <w:rFonts w:ascii="宋体" w:hAnsi="宋体" w:cs="宋体" w:hint="eastAsia"/>
            <w:kern w:val="0"/>
          </w:rPr>
          <w:fldChar w:fldCharType="separate"/>
        </w:r>
        <w:r w:rsidR="00E22BDD">
          <w:rPr>
            <w:rFonts w:ascii="宋体" w:hAnsi="宋体" w:cs="宋体" w:hint="eastAsia"/>
            <w:kern w:val="0"/>
          </w:rPr>
          <w:t>114</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24169" w:history="1">
        <w:r w:rsidR="00E22BDD">
          <w:rPr>
            <w:rFonts w:ascii="宋体" w:hAnsi="宋体" w:cs="宋体" w:hint="eastAsia"/>
            <w:kern w:val="0"/>
          </w:rPr>
          <w:t>11.4.3医疗服务</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_Toc24169 </w:instrText>
        </w:r>
        <w:r w:rsidR="00E22BDD">
          <w:rPr>
            <w:rFonts w:ascii="宋体" w:hAnsi="宋体" w:cs="宋体" w:hint="eastAsia"/>
            <w:kern w:val="0"/>
          </w:rPr>
          <w:fldChar w:fldCharType="separate"/>
        </w:r>
        <w:r w:rsidR="00E22BDD">
          <w:rPr>
            <w:rFonts w:ascii="宋体" w:hAnsi="宋体" w:cs="宋体" w:hint="eastAsia"/>
            <w:kern w:val="0"/>
          </w:rPr>
          <w:t>114</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32344" w:history="1">
        <w:r w:rsidR="00E22BDD">
          <w:rPr>
            <w:rFonts w:ascii="宋体" w:hAnsi="宋体" w:cs="宋体" w:hint="eastAsia"/>
            <w:kern w:val="0"/>
          </w:rPr>
          <w:t>11.4.4教师个人通讯业务咨询服务</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_Toc32344 </w:instrText>
        </w:r>
        <w:r w:rsidR="00E22BDD">
          <w:rPr>
            <w:rFonts w:ascii="宋体" w:hAnsi="宋体" w:cs="宋体" w:hint="eastAsia"/>
            <w:kern w:val="0"/>
          </w:rPr>
          <w:fldChar w:fldCharType="separate"/>
        </w:r>
        <w:r w:rsidR="00E22BDD">
          <w:rPr>
            <w:rFonts w:ascii="宋体" w:hAnsi="宋体" w:cs="宋体" w:hint="eastAsia"/>
            <w:kern w:val="0"/>
          </w:rPr>
          <w:t>118</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3267" w:history="1">
        <w:r w:rsidR="00E22BDD">
          <w:rPr>
            <w:rFonts w:ascii="宋体" w:hAnsi="宋体" w:cs="宋体" w:hint="eastAsia"/>
            <w:kern w:val="0"/>
          </w:rPr>
          <w:t>11.4.5餐饮、会议、宾馆服务</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_Toc3267 </w:instrText>
        </w:r>
        <w:r w:rsidR="00E22BDD">
          <w:rPr>
            <w:rFonts w:ascii="宋体" w:hAnsi="宋体" w:cs="宋体" w:hint="eastAsia"/>
            <w:kern w:val="0"/>
          </w:rPr>
          <w:fldChar w:fldCharType="separate"/>
        </w:r>
        <w:r w:rsidR="00E22BDD">
          <w:rPr>
            <w:rFonts w:ascii="宋体" w:hAnsi="宋体" w:cs="宋体" w:hint="eastAsia"/>
            <w:kern w:val="0"/>
          </w:rPr>
          <w:t>118</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11020" w:history="1">
        <w:r w:rsidR="00E22BDD">
          <w:rPr>
            <w:rFonts w:ascii="宋体" w:hAnsi="宋体" w:cs="宋体" w:hint="eastAsia"/>
            <w:kern w:val="0"/>
          </w:rPr>
          <w:t>11.4.6后勤服务处服务热线</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_Toc11020 </w:instrText>
        </w:r>
        <w:r w:rsidR="00E22BDD">
          <w:rPr>
            <w:rFonts w:ascii="宋体" w:hAnsi="宋体" w:cs="宋体" w:hint="eastAsia"/>
            <w:kern w:val="0"/>
          </w:rPr>
          <w:fldChar w:fldCharType="separate"/>
        </w:r>
        <w:r w:rsidR="00E22BDD">
          <w:rPr>
            <w:rFonts w:ascii="宋体" w:hAnsi="宋体" w:cs="宋体" w:hint="eastAsia"/>
            <w:kern w:val="0"/>
          </w:rPr>
          <w:t>120</w:t>
        </w:r>
        <w:r w:rsidR="00E22BDD">
          <w:rPr>
            <w:rFonts w:ascii="宋体" w:hAnsi="宋体" w:cs="宋体" w:hint="eastAsia"/>
            <w:kern w:val="0"/>
          </w:rPr>
          <w:fldChar w:fldCharType="end"/>
        </w:r>
      </w:hyperlink>
    </w:p>
    <w:p w:rsidR="00E37845" w:rsidRDefault="001B499F">
      <w:pPr>
        <w:pStyle w:val="TOC2"/>
        <w:tabs>
          <w:tab w:val="right" w:leader="dot" w:pos="9015"/>
        </w:tabs>
        <w:rPr>
          <w:rFonts w:ascii="宋体" w:hAnsi="宋体" w:cs="宋体"/>
          <w:kern w:val="0"/>
        </w:rPr>
      </w:pPr>
      <w:hyperlink w:anchor="_Toc30468" w:history="1">
        <w:r w:rsidR="00E22BDD">
          <w:rPr>
            <w:rFonts w:ascii="宋体" w:hAnsi="宋体" w:cs="宋体" w:hint="eastAsia"/>
            <w:kern w:val="0"/>
          </w:rPr>
          <w:t>11.5公文处理系统--会议管理及行政事务模块</w:t>
        </w:r>
        <w:r w:rsidR="00E22BDD">
          <w:rPr>
            <w:rFonts w:ascii="宋体" w:hAnsi="宋体" w:cs="宋体" w:hint="eastAsia"/>
            <w:kern w:val="0"/>
          </w:rPr>
          <w:tab/>
        </w:r>
        <w:r w:rsidR="00E22BDD">
          <w:rPr>
            <w:rFonts w:ascii="宋体" w:hAnsi="宋体" w:cs="宋体" w:hint="eastAsia"/>
            <w:kern w:val="0"/>
          </w:rPr>
          <w:fldChar w:fldCharType="begin"/>
        </w:r>
        <w:r w:rsidR="00E22BDD">
          <w:rPr>
            <w:rFonts w:ascii="宋体" w:hAnsi="宋体" w:cs="宋体" w:hint="eastAsia"/>
            <w:kern w:val="0"/>
          </w:rPr>
          <w:instrText xml:space="preserve"> PAGEREF _Toc30468 </w:instrText>
        </w:r>
        <w:r w:rsidR="00E22BDD">
          <w:rPr>
            <w:rFonts w:ascii="宋体" w:hAnsi="宋体" w:cs="宋体" w:hint="eastAsia"/>
            <w:kern w:val="0"/>
          </w:rPr>
          <w:fldChar w:fldCharType="separate"/>
        </w:r>
        <w:r w:rsidR="00E22BDD">
          <w:rPr>
            <w:rFonts w:ascii="宋体" w:hAnsi="宋体" w:cs="宋体" w:hint="eastAsia"/>
            <w:kern w:val="0"/>
          </w:rPr>
          <w:t>120</w:t>
        </w:r>
        <w:r w:rsidR="00E22BDD">
          <w:rPr>
            <w:rFonts w:ascii="宋体" w:hAnsi="宋体" w:cs="宋体" w:hint="eastAsia"/>
            <w:kern w:val="0"/>
          </w:rPr>
          <w:fldChar w:fldCharType="end"/>
        </w:r>
      </w:hyperlink>
    </w:p>
    <w:p w:rsidR="00E37845" w:rsidRDefault="00E22BDD">
      <w:pPr>
        <w:pStyle w:val="TOC1"/>
        <w:tabs>
          <w:tab w:val="right" w:leader="dot" w:pos="8306"/>
        </w:tabs>
        <w:autoSpaceDE w:val="0"/>
        <w:autoSpaceDN w:val="0"/>
        <w:adjustRightInd w:val="0"/>
        <w:snapToGrid w:val="0"/>
        <w:spacing w:before="10" w:after="10" w:line="360" w:lineRule="auto"/>
        <w:jc w:val="left"/>
        <w:rPr>
          <w:rFonts w:ascii="黑体" w:eastAsia="黑体" w:hAnsi="黑体" w:cs="黑体"/>
          <w:color w:val="000000" w:themeColor="text1"/>
          <w:sz w:val="24"/>
          <w:szCs w:val="24"/>
        </w:rPr>
      </w:pPr>
      <w:r>
        <w:rPr>
          <w:rFonts w:ascii="宋体" w:hAnsi="宋体" w:cs="宋体" w:hint="eastAsia"/>
          <w:color w:val="0000FF"/>
          <w:kern w:val="0"/>
          <w:u w:val="single"/>
        </w:rPr>
        <w:fldChar w:fldCharType="end"/>
      </w:r>
    </w:p>
    <w:p w:rsidR="00E37845" w:rsidRDefault="00E37845">
      <w:pPr>
        <w:adjustRightInd w:val="0"/>
        <w:snapToGrid w:val="0"/>
        <w:spacing w:before="10" w:after="10" w:line="360" w:lineRule="auto"/>
        <w:jc w:val="left"/>
        <w:rPr>
          <w:sz w:val="44"/>
          <w:szCs w:val="44"/>
        </w:rPr>
        <w:sectPr w:rsidR="00E37845">
          <w:pgSz w:w="11906" w:h="16838"/>
          <w:pgMar w:top="1440" w:right="1417" w:bottom="1440" w:left="1474" w:header="851" w:footer="992" w:gutter="0"/>
          <w:pgNumType w:fmt="numberInDash"/>
          <w:cols w:space="0"/>
          <w:docGrid w:type="lines" w:linePitch="312"/>
        </w:sectPr>
      </w:pPr>
      <w:bookmarkStart w:id="1" w:name="_Toc8098"/>
      <w:bookmarkStart w:id="2" w:name="_Toc8096"/>
      <w:bookmarkStart w:id="3" w:name="_Toc15220"/>
      <w:bookmarkStart w:id="4" w:name="_Toc28504"/>
      <w:bookmarkStart w:id="5" w:name="_Toc14644"/>
      <w:bookmarkStart w:id="6" w:name="_Toc25370"/>
      <w:bookmarkStart w:id="7" w:name="_Toc7874"/>
      <w:bookmarkStart w:id="8" w:name="_Toc28325"/>
      <w:bookmarkStart w:id="9" w:name="_Toc20013"/>
    </w:p>
    <w:p w:rsidR="00E37845" w:rsidRDefault="00E22BDD">
      <w:pPr>
        <w:pStyle w:val="1"/>
        <w:adjustRightInd w:val="0"/>
        <w:snapToGrid w:val="0"/>
        <w:spacing w:beforeLines="100" w:before="312" w:afterLines="100" w:after="312" w:line="360" w:lineRule="auto"/>
        <w:jc w:val="center"/>
        <w:rPr>
          <w:rFonts w:ascii="方正小标宋简体" w:eastAsia="方正小标宋简体" w:hAnsi="黑体" w:cs="黑体"/>
          <w:sz w:val="44"/>
        </w:rPr>
      </w:pPr>
      <w:bookmarkStart w:id="10" w:name="_Toc21042"/>
      <w:bookmarkStart w:id="11" w:name="_Toc15392"/>
      <w:bookmarkStart w:id="12" w:name="_Toc28177"/>
      <w:bookmarkStart w:id="13" w:name="_Toc5002"/>
      <w:bookmarkStart w:id="14" w:name="_Toc28671"/>
      <w:bookmarkStart w:id="15" w:name="_Toc4737"/>
      <w:bookmarkStart w:id="16" w:name="_Toc28024"/>
      <w:bookmarkStart w:id="17" w:name="_Toc8873"/>
      <w:bookmarkStart w:id="18" w:name="_Toc6879"/>
      <w:bookmarkStart w:id="19" w:name="_Toc11704"/>
      <w:bookmarkStart w:id="20" w:name="_Toc9424"/>
      <w:bookmarkStart w:id="21" w:name="_Toc15239"/>
      <w:bookmarkStart w:id="22" w:name="_Toc3852"/>
      <w:bookmarkStart w:id="23" w:name="_Toc15625"/>
      <w:bookmarkStart w:id="24" w:name="_Toc7090"/>
      <w:bookmarkStart w:id="25" w:name="_Toc519780922"/>
      <w:bookmarkStart w:id="26" w:name="_Toc17358"/>
      <w:bookmarkStart w:id="27" w:name="_Toc22030"/>
      <w:bookmarkStart w:id="28" w:name="_Toc8886"/>
      <w:bookmarkStart w:id="29" w:name="_Toc12231"/>
      <w:r>
        <w:rPr>
          <w:rFonts w:ascii="方正小标宋简体" w:eastAsia="方正小标宋简体" w:hAnsi="黑体" w:cs="黑体" w:hint="eastAsia"/>
          <w:sz w:val="44"/>
        </w:rPr>
        <w:lastRenderedPageBreak/>
        <w:t>第一篇</w:t>
      </w:r>
      <w:r>
        <w:rPr>
          <w:rFonts w:ascii="方正小标宋简体" w:eastAsia="方正小标宋简体" w:hAnsi="黑体" w:cs="黑体"/>
          <w:sz w:val="44"/>
        </w:rPr>
        <w:t xml:space="preserve">  </w:t>
      </w:r>
      <w:r>
        <w:rPr>
          <w:rFonts w:ascii="方正小标宋简体" w:eastAsia="方正小标宋简体" w:hAnsi="黑体" w:cs="黑体" w:hint="eastAsia"/>
          <w:sz w:val="44"/>
        </w:rPr>
        <w:t>学校</w:t>
      </w:r>
      <w:r>
        <w:rPr>
          <w:rFonts w:ascii="方正小标宋简体" w:eastAsia="方正小标宋简体" w:hAnsi="黑体" w:cs="黑体"/>
          <w:sz w:val="44"/>
        </w:rPr>
        <w:t>基本简介</w:t>
      </w:r>
      <w:bookmarkEnd w:id="10"/>
    </w:p>
    <w:p w:rsidR="00E37845" w:rsidRDefault="00E22BDD">
      <w:pPr>
        <w:pStyle w:val="1"/>
        <w:adjustRightInd w:val="0"/>
        <w:snapToGrid w:val="0"/>
        <w:spacing w:beforeLines="100" w:before="312" w:afterLines="100" w:after="312" w:line="360" w:lineRule="auto"/>
        <w:rPr>
          <w:rFonts w:ascii="微软雅黑" w:eastAsia="微软雅黑" w:hAnsi="微软雅黑"/>
          <w:szCs w:val="32"/>
        </w:rPr>
      </w:pPr>
      <w:bookmarkStart w:id="30" w:name="_Toc28884"/>
      <w:r>
        <w:rPr>
          <w:rFonts w:ascii="微软雅黑" w:eastAsia="微软雅黑" w:hAnsi="微软雅黑" w:cs="黑体" w:hint="eastAsia"/>
          <w:szCs w:val="32"/>
        </w:rPr>
        <w:t>1.广</w:t>
      </w:r>
      <w:r>
        <w:rPr>
          <w:rFonts w:ascii="微软雅黑" w:eastAsia="微软雅黑" w:hAnsi="微软雅黑" w:hint="eastAsia"/>
          <w:szCs w:val="32"/>
        </w:rPr>
        <w:t>州大学的简介概况和发展目标</w:t>
      </w:r>
      <w:bookmarkEnd w:id="11"/>
      <w:bookmarkEnd w:id="12"/>
      <w:bookmarkEnd w:id="13"/>
      <w:bookmarkEnd w:id="14"/>
      <w:bookmarkEnd w:id="15"/>
      <w:bookmarkEnd w:id="16"/>
      <w:bookmarkEnd w:id="17"/>
      <w:bookmarkEnd w:id="18"/>
      <w:bookmarkEnd w:id="19"/>
      <w:bookmarkEnd w:id="30"/>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b w:val="0"/>
          <w:bCs w:val="0"/>
          <w:color w:val="000000" w:themeColor="text1"/>
          <w:sz w:val="28"/>
          <w:szCs w:val="28"/>
        </w:rPr>
      </w:pPr>
      <w:bookmarkStart w:id="31" w:name="_Toc21138"/>
      <w:bookmarkStart w:id="32" w:name="_Toc460"/>
      <w:bookmarkStart w:id="33" w:name="_Toc31503"/>
      <w:bookmarkStart w:id="34" w:name="_Toc26425"/>
      <w:bookmarkStart w:id="35" w:name="_Toc7646"/>
      <w:bookmarkStart w:id="36" w:name="_Toc24863"/>
      <w:bookmarkStart w:id="37" w:name="_Toc16852"/>
      <w:bookmarkStart w:id="38" w:name="_Toc18782"/>
      <w:bookmarkStart w:id="39" w:name="_Toc13201"/>
      <w:bookmarkStart w:id="40" w:name="_Toc3164"/>
      <w:r>
        <w:rPr>
          <w:rFonts w:ascii="黑体" w:eastAsia="黑体" w:hAnsi="黑体" w:cs="黑体"/>
          <w:color w:val="000000" w:themeColor="text1"/>
          <w:sz w:val="28"/>
          <w:szCs w:val="28"/>
        </w:rPr>
        <w:t>1.1</w:t>
      </w:r>
      <w:bookmarkEnd w:id="1"/>
      <w:bookmarkEnd w:id="2"/>
      <w:bookmarkEnd w:id="3"/>
      <w:bookmarkEnd w:id="4"/>
      <w:bookmarkEnd w:id="5"/>
      <w:bookmarkEnd w:id="6"/>
      <w:bookmarkEnd w:id="7"/>
      <w:bookmarkEnd w:id="8"/>
      <w:bookmarkEnd w:id="9"/>
      <w:bookmarkEnd w:id="20"/>
      <w:bookmarkEnd w:id="21"/>
      <w:bookmarkEnd w:id="22"/>
      <w:bookmarkEnd w:id="23"/>
      <w:bookmarkEnd w:id="24"/>
      <w:bookmarkEnd w:id="25"/>
      <w:bookmarkEnd w:id="26"/>
      <w:bookmarkEnd w:id="27"/>
      <w:bookmarkEnd w:id="28"/>
      <w:bookmarkEnd w:id="29"/>
      <w:bookmarkEnd w:id="31"/>
      <w:bookmarkEnd w:id="32"/>
      <w:bookmarkEnd w:id="33"/>
      <w:bookmarkEnd w:id="34"/>
      <w:bookmarkEnd w:id="35"/>
      <w:bookmarkEnd w:id="36"/>
      <w:bookmarkEnd w:id="37"/>
      <w:bookmarkEnd w:id="38"/>
      <w:bookmarkEnd w:id="39"/>
      <w:r>
        <w:rPr>
          <w:rFonts w:ascii="黑体" w:eastAsia="黑体" w:hAnsi="黑体" w:cs="黑体" w:hint="eastAsia"/>
          <w:color w:val="000000" w:themeColor="text1"/>
          <w:sz w:val="28"/>
          <w:szCs w:val="28"/>
        </w:rPr>
        <w:t>学校简介概况</w:t>
      </w:r>
      <w:bookmarkEnd w:id="40"/>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广州大学是以国家重要中心城市“广州”命名的综合性大学，学校立足粤港澳大湾区区位优势，强化大学的使命与担当，锐意改革，开拓进取，各项事业实现跨越式发展，是广东省和广州市高水平大学建设高校。</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广州大学有90多年的办学传统，办学源头可追溯到1927年陈炳权先生创建的广州大学。2000年7月，经国家教育部批准，广州教育学院、广州高等师范专科学校、广州师范学院、广州大学、华南建设学院（西院）合并组建为新的广州大学，办学地点分布在广园、桂花岗、麓湖、起义路、龙洞等五个校区，共有师生近2万人。</w:t>
      </w:r>
      <w:r>
        <w:rPr>
          <w:rFonts w:ascii="仿宋_GB2312" w:eastAsia="仿宋_GB2312" w:hAnsi="仿宋_GB2312" w:cs="仿宋_GB2312"/>
          <w:color w:val="000000" w:themeColor="text1"/>
          <w:sz w:val="24"/>
          <w:szCs w:val="24"/>
        </w:rPr>
        <w:t>2005年，广州芭蕾舞团、广州市歌舞团、广州市艺术学校并入广州大学。</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学校现设有27个学院，涵盖哲学、经济学、法学、教育学、文学、历史学、理学、工学、管理学、艺术学等十大学科门类。拥有3个博士后科研流动站，8个一级学科博士授权点和博士专业学位授权点，31个一级学科硕士授权点，13个硕士专业学位授权点（其中工程硕士下设7个领域），2018年本科招生专业63个。截止到2018年10月</w:t>
      </w:r>
      <w:r>
        <w:rPr>
          <w:rFonts w:ascii="仿宋_GB2312" w:eastAsia="仿宋_GB2312" w:hAnsi="仿宋_GB2312" w:cs="仿宋_GB2312"/>
          <w:color w:val="000000" w:themeColor="text1"/>
          <w:sz w:val="24"/>
          <w:szCs w:val="24"/>
        </w:rPr>
        <w:t>，</w:t>
      </w:r>
      <w:r>
        <w:rPr>
          <w:rFonts w:ascii="仿宋_GB2312" w:eastAsia="仿宋_GB2312" w:hAnsi="仿宋_GB2312" w:cs="仿宋_GB2312" w:hint="eastAsia"/>
          <w:color w:val="000000" w:themeColor="text1"/>
          <w:sz w:val="24"/>
          <w:szCs w:val="24"/>
        </w:rPr>
        <w:t>现有在校全日制学生34241人，其中本科生30024人、硕士博士研究生4217人。</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学校以人才培养为中心工作，突出本科教育的基础地位；以“德才兼备、家国情怀、视野开阔、爱体育、懂艺术、能力发展性强”作为人才培养目标，把思想政治教育和创新创业教育融入人才培养全过程。培育了一批创业团队，拥有广州芭蕾舞团、广州歌舞团等高水平的艺术团体和一批科技文化含量高、学生乐于参与的学生社团和文化品牌项目。</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学校有大学城、桂花岗两个校区，拥有丰富的教学资源和较完善的科研设施。截止到2018年10月</w:t>
      </w:r>
      <w:r>
        <w:rPr>
          <w:rFonts w:ascii="仿宋_GB2312" w:eastAsia="仿宋_GB2312" w:hAnsi="仿宋_GB2312" w:cs="仿宋_GB2312"/>
          <w:color w:val="000000" w:themeColor="text1"/>
          <w:sz w:val="24"/>
          <w:szCs w:val="24"/>
        </w:rPr>
        <w:t>，</w:t>
      </w:r>
      <w:r>
        <w:rPr>
          <w:rFonts w:ascii="仿宋_GB2312" w:eastAsia="仿宋_GB2312" w:hAnsi="仿宋_GB2312" w:cs="仿宋_GB2312" w:hint="eastAsia"/>
          <w:color w:val="000000" w:themeColor="text1"/>
          <w:sz w:val="24"/>
          <w:szCs w:val="24"/>
        </w:rPr>
        <w:t>全校现有在编教职工2890人，其中教学科研人员1941人，副高以上职称者1197人。学校拥有一批高层次人才，其中中国科学院院士2名，中国工程院院士2名，澳大利亚技术科学与工程院院士1人, 国际欧亚科学院院士1名，各类“长江学者”6人，“万人计划”教学名师1人、领军人才4人,国家杰青和优青获得者16人。学校设立了工程抗震研究中心、网络空间先进技术研究院、计算科技研究院、智能制造研究院、大湾区环境研究院、广州发展研究院、广州国际金融研究院和人权研究院等一批重要研究平台，承担了一批973项目、863项目、国家重点研发计划项目、国家自然</w:t>
      </w:r>
      <w:r>
        <w:rPr>
          <w:rFonts w:ascii="仿宋_GB2312" w:eastAsia="仿宋_GB2312" w:hAnsi="仿宋_GB2312" w:cs="仿宋_GB2312" w:hint="eastAsia"/>
          <w:color w:val="000000" w:themeColor="text1"/>
          <w:sz w:val="24"/>
          <w:szCs w:val="24"/>
        </w:rPr>
        <w:lastRenderedPageBreak/>
        <w:t>科学基金项目和国家社会科学基金项目。</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学校坚持开放办学。先后与30个国家或地区的200多所大学和科研院所建立了教育与科技合作关系，2002年创办了全国第一所中法旅游学院；先后与意大利帕多瓦大学和美国卫斯理安学院合作建立了孔子学院。与淡江大学、帕多瓦大学、林雪平大学等知名高校建立科研平台和机构，开展合作办学和合作研究。</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博学笃行、与时俱进”。今天的广州大学正站在新的起点上，学校将紧紧围绕“立德树人”根本任务，坚持“三个面向”（面向国际学术前沿，面向国家重大战略需求，面向国家和区域经济社会需求），深度实施与广州发展的“三个对接”（对接城市建设，对接城市创新，对接城市开放），以解放思想、改革创新为动力，着力推进内涵建设、创新引领、特色发展和开放办学，全面加强党的建设，全面推进高水平大学建设，努力将学校建设成为与广州城市发展深度融合、与广州城市地位相得益彰，具有学科、城市区域和国际化特色的高水平大学。</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41" w:name="_Toc5328"/>
      <w:bookmarkStart w:id="42" w:name="_Toc124"/>
      <w:bookmarkStart w:id="43" w:name="_Toc32078"/>
      <w:bookmarkStart w:id="44" w:name="_Toc21196"/>
      <w:bookmarkStart w:id="45" w:name="_Toc22074"/>
      <w:bookmarkStart w:id="46" w:name="_Toc32167"/>
      <w:bookmarkStart w:id="47" w:name="_Toc4768"/>
      <w:bookmarkStart w:id="48" w:name="_Toc8587"/>
      <w:bookmarkStart w:id="49" w:name="_Toc19524"/>
      <w:bookmarkStart w:id="50" w:name="_Toc25546"/>
      <w:bookmarkStart w:id="51" w:name="_Toc24526"/>
      <w:bookmarkStart w:id="52" w:name="_Toc519780924"/>
      <w:bookmarkStart w:id="53" w:name="_Toc2485"/>
      <w:bookmarkStart w:id="54" w:name="_Toc23902"/>
      <w:bookmarkStart w:id="55" w:name="_Toc5563"/>
      <w:bookmarkStart w:id="56" w:name="_Toc23807"/>
      <w:bookmarkStart w:id="57" w:name="_Toc5297"/>
      <w:bookmarkStart w:id="58" w:name="_Toc22599"/>
      <w:bookmarkStart w:id="59" w:name="_Toc26084"/>
      <w:bookmarkStart w:id="60" w:name="_Toc26555"/>
      <w:bookmarkStart w:id="61" w:name="_Toc7407"/>
      <w:bookmarkStart w:id="62" w:name="_Toc8371"/>
      <w:bookmarkStart w:id="63" w:name="_Toc10282"/>
      <w:bookmarkStart w:id="64" w:name="_Toc30773"/>
      <w:bookmarkStart w:id="65" w:name="_Toc25655"/>
      <w:bookmarkStart w:id="66" w:name="_Toc32059"/>
      <w:bookmarkStart w:id="67" w:name="_Toc19946"/>
      <w:bookmarkStart w:id="68" w:name="_Toc29611"/>
      <w:bookmarkStart w:id="69" w:name="_Toc9583"/>
      <w:r>
        <w:rPr>
          <w:rFonts w:ascii="黑体" w:eastAsia="黑体" w:hAnsi="黑体" w:cs="黑体"/>
          <w:color w:val="000000" w:themeColor="text1"/>
          <w:sz w:val="28"/>
          <w:szCs w:val="28"/>
        </w:rPr>
        <w:t>1.</w:t>
      </w:r>
      <w:r>
        <w:rPr>
          <w:rFonts w:ascii="黑体" w:eastAsia="黑体" w:hAnsi="黑体" w:cs="黑体" w:hint="eastAsia"/>
          <w:color w:val="000000" w:themeColor="text1"/>
          <w:sz w:val="28"/>
          <w:szCs w:val="28"/>
        </w:rPr>
        <w:t>2</w:t>
      </w:r>
      <w:r>
        <w:rPr>
          <w:rFonts w:ascii="黑体" w:eastAsia="黑体" w:hAnsi="黑体" w:cs="黑体"/>
          <w:color w:val="000000" w:themeColor="text1"/>
          <w:sz w:val="28"/>
          <w:szCs w:val="28"/>
        </w:rPr>
        <w:t>发展目标</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70" w:name="_Toc11348"/>
      <w:bookmarkStart w:id="71" w:name="_Toc21054"/>
      <w:bookmarkStart w:id="72" w:name="_Toc7764"/>
      <w:bookmarkStart w:id="73" w:name="_Toc519780925"/>
      <w:bookmarkStart w:id="74" w:name="_Toc6347"/>
      <w:bookmarkStart w:id="75" w:name="_Toc22290"/>
      <w:bookmarkStart w:id="76" w:name="_Toc14836"/>
      <w:bookmarkStart w:id="77" w:name="_Toc23855"/>
      <w:bookmarkStart w:id="78" w:name="_Toc28827"/>
      <w:bookmarkStart w:id="79" w:name="_Toc29145"/>
      <w:bookmarkStart w:id="80" w:name="_Toc2866"/>
      <w:bookmarkStart w:id="81" w:name="_Toc5210"/>
      <w:bookmarkStart w:id="82" w:name="_Toc10934"/>
      <w:bookmarkStart w:id="83" w:name="_Toc10782"/>
      <w:bookmarkStart w:id="84" w:name="_Toc20918"/>
      <w:bookmarkStart w:id="85" w:name="_Toc21525"/>
      <w:bookmarkStart w:id="86" w:name="_Toc7339"/>
      <w:bookmarkStart w:id="87" w:name="_Toc17716"/>
      <w:bookmarkStart w:id="88" w:name="_Toc30483"/>
      <w:bookmarkStart w:id="89" w:name="_Toc2373"/>
      <w:bookmarkStart w:id="90" w:name="_Toc26417"/>
      <w:bookmarkStart w:id="91" w:name="_Toc5999"/>
      <w:bookmarkStart w:id="92" w:name="_Toc29141"/>
      <w:bookmarkStart w:id="93" w:name="_Toc32347"/>
      <w:bookmarkStart w:id="94" w:name="_Toc14094"/>
      <w:bookmarkStart w:id="95" w:name="_Toc8715"/>
      <w:bookmarkStart w:id="96" w:name="_Toc31908"/>
      <w:bookmarkStart w:id="97" w:name="_Toc5179"/>
      <w:bookmarkStart w:id="98" w:name="_Toc24927"/>
      <w:r>
        <w:rPr>
          <w:rFonts w:ascii="黑体" w:eastAsia="黑体" w:hAnsi="黑体" w:cs="黑体"/>
          <w:color w:val="000000" w:themeColor="text1"/>
          <w:sz w:val="28"/>
          <w:szCs w:val="28"/>
        </w:rPr>
        <w:t>1.</w:t>
      </w:r>
      <w:r>
        <w:rPr>
          <w:rFonts w:ascii="黑体" w:eastAsia="黑体" w:hAnsi="黑体" w:cs="黑体" w:hint="eastAsia"/>
          <w:color w:val="000000" w:themeColor="text1"/>
          <w:sz w:val="28"/>
          <w:szCs w:val="28"/>
        </w:rPr>
        <w:t>2</w:t>
      </w:r>
      <w:r>
        <w:rPr>
          <w:rFonts w:ascii="黑体" w:eastAsia="黑体" w:hAnsi="黑体" w:cs="黑体"/>
          <w:color w:val="000000" w:themeColor="text1"/>
          <w:sz w:val="28"/>
          <w:szCs w:val="28"/>
        </w:rPr>
        <w:t>.1发展定位</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坚持社会主义办学方向，坚持立德树人，面向国际学术前沿，面向国家重大战略需求，面向国家和区域经济社会需求，深度对接城市发展、对接创新发展、对接对外开放，以国家重大战略和国家区域经济发展需求为导向，以改革创新为动力，全面推进学科体系建设、人才培养体系建设和学术共同体建设，全面提高人才培养质量，建成国内一流、世界知名的综合性高水平大学。</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99" w:name="_Toc5945"/>
      <w:bookmarkStart w:id="100" w:name="_Toc2804"/>
      <w:bookmarkStart w:id="101" w:name="_Toc26218"/>
      <w:bookmarkStart w:id="102" w:name="_Toc2770"/>
      <w:bookmarkStart w:id="103" w:name="_Toc20529"/>
      <w:bookmarkStart w:id="104" w:name="_Toc25294"/>
      <w:bookmarkStart w:id="105" w:name="_Toc31240"/>
      <w:bookmarkStart w:id="106" w:name="_Toc29266"/>
      <w:bookmarkStart w:id="107" w:name="_Toc2776"/>
      <w:bookmarkStart w:id="108" w:name="_Toc24767"/>
      <w:bookmarkStart w:id="109" w:name="_Toc2469"/>
      <w:bookmarkStart w:id="110" w:name="_Toc6634"/>
      <w:bookmarkStart w:id="111" w:name="_Toc25151"/>
      <w:bookmarkStart w:id="112" w:name="_Toc1912"/>
      <w:bookmarkStart w:id="113" w:name="_Toc22556"/>
      <w:bookmarkStart w:id="114" w:name="_Toc17691"/>
      <w:bookmarkStart w:id="115" w:name="_Toc519780926"/>
      <w:bookmarkStart w:id="116" w:name="_Toc29167"/>
      <w:bookmarkStart w:id="117" w:name="_Toc25999"/>
      <w:bookmarkStart w:id="118" w:name="_Toc26655"/>
      <w:bookmarkStart w:id="119" w:name="_Toc16321"/>
      <w:bookmarkStart w:id="120" w:name="_Toc7480"/>
      <w:bookmarkStart w:id="121" w:name="_Toc26964"/>
      <w:bookmarkStart w:id="122" w:name="_Toc9234"/>
      <w:bookmarkStart w:id="123" w:name="_Toc29391"/>
      <w:bookmarkStart w:id="124" w:name="_Toc1393"/>
      <w:bookmarkStart w:id="125" w:name="_Toc11188"/>
      <w:bookmarkStart w:id="126" w:name="_Toc14737"/>
      <w:bookmarkStart w:id="127" w:name="_Toc31106"/>
      <w:r>
        <w:rPr>
          <w:rFonts w:ascii="黑体" w:eastAsia="黑体" w:hAnsi="黑体" w:cs="黑体"/>
          <w:color w:val="000000" w:themeColor="text1"/>
          <w:sz w:val="28"/>
          <w:szCs w:val="28"/>
        </w:rPr>
        <w:t>1.</w:t>
      </w:r>
      <w:r>
        <w:rPr>
          <w:rFonts w:ascii="黑体" w:eastAsia="黑体" w:hAnsi="黑体" w:cs="黑体" w:hint="eastAsia"/>
          <w:color w:val="000000" w:themeColor="text1"/>
          <w:sz w:val="28"/>
          <w:szCs w:val="28"/>
        </w:rPr>
        <w:t>2</w:t>
      </w:r>
      <w:r>
        <w:rPr>
          <w:rFonts w:ascii="黑体" w:eastAsia="黑体" w:hAnsi="黑体" w:cs="黑体"/>
          <w:color w:val="000000" w:themeColor="text1"/>
          <w:sz w:val="28"/>
          <w:szCs w:val="28"/>
        </w:rPr>
        <w:t>.2</w:t>
      </w:r>
      <w:r>
        <w:rPr>
          <w:rFonts w:ascii="黑体" w:eastAsia="黑体" w:hAnsi="黑体" w:cs="黑体" w:hint="eastAsia"/>
          <w:color w:val="000000" w:themeColor="text1"/>
          <w:sz w:val="28"/>
          <w:szCs w:val="28"/>
        </w:rPr>
        <w:t>中长期发展目标</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广州大学确定分三个阶段建成具有国际影响力的高水平大学的目标。</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到</w:t>
      </w:r>
      <w:r>
        <w:rPr>
          <w:rFonts w:ascii="仿宋_GB2312" w:eastAsia="仿宋_GB2312" w:hAnsi="仿宋_GB2312" w:cs="仿宋_GB2312"/>
          <w:color w:val="000000" w:themeColor="text1"/>
          <w:sz w:val="24"/>
          <w:szCs w:val="24"/>
        </w:rPr>
        <w:t>2020</w:t>
      </w:r>
      <w:r>
        <w:rPr>
          <w:rFonts w:ascii="仿宋_GB2312" w:eastAsia="仿宋_GB2312" w:hAnsi="仿宋_GB2312" w:cs="仿宋_GB2312" w:hint="eastAsia"/>
          <w:color w:val="000000" w:themeColor="text1"/>
          <w:sz w:val="24"/>
          <w:szCs w:val="24"/>
        </w:rPr>
        <w:t>年，全面缩小差距，全面提升学科水平，着力打造城市区域和国际化特色，力争学校办学水平跻身省内地方高校“第一方阵”行列，进入全国高校排位前</w:t>
      </w:r>
      <w:r>
        <w:rPr>
          <w:rFonts w:ascii="仿宋_GB2312" w:eastAsia="仿宋_GB2312" w:hAnsi="仿宋_GB2312" w:cs="仿宋_GB2312"/>
          <w:color w:val="000000" w:themeColor="text1"/>
          <w:sz w:val="24"/>
          <w:szCs w:val="24"/>
        </w:rPr>
        <w:t>100</w:t>
      </w:r>
      <w:r>
        <w:rPr>
          <w:rFonts w:ascii="仿宋_GB2312" w:eastAsia="仿宋_GB2312" w:hAnsi="仿宋_GB2312" w:cs="仿宋_GB2312" w:hint="eastAsia"/>
          <w:color w:val="000000" w:themeColor="text1"/>
          <w:sz w:val="24"/>
          <w:szCs w:val="24"/>
        </w:rPr>
        <w:t>名。</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到</w:t>
      </w:r>
      <w:r>
        <w:rPr>
          <w:rFonts w:ascii="仿宋_GB2312" w:eastAsia="仿宋_GB2312" w:hAnsi="仿宋_GB2312" w:cs="仿宋_GB2312"/>
          <w:color w:val="000000" w:themeColor="text1"/>
          <w:sz w:val="24"/>
          <w:szCs w:val="24"/>
        </w:rPr>
        <w:t>2025</w:t>
      </w:r>
      <w:r>
        <w:rPr>
          <w:rFonts w:ascii="仿宋_GB2312" w:eastAsia="仿宋_GB2312" w:hAnsi="仿宋_GB2312" w:cs="仿宋_GB2312" w:hint="eastAsia"/>
          <w:color w:val="000000" w:themeColor="text1"/>
          <w:sz w:val="24"/>
          <w:szCs w:val="24"/>
        </w:rPr>
        <w:t>年，进一步强化优势和特色，学校建成具有学科、城市区域和国际化特色的高水平大学，进入全国高校排位</w:t>
      </w:r>
      <w:r>
        <w:rPr>
          <w:rFonts w:ascii="仿宋_GB2312" w:eastAsia="仿宋_GB2312" w:hAnsi="仿宋_GB2312" w:cs="仿宋_GB2312"/>
          <w:color w:val="000000" w:themeColor="text1"/>
          <w:sz w:val="24"/>
          <w:szCs w:val="24"/>
        </w:rPr>
        <w:t>50</w:t>
      </w:r>
      <w:r>
        <w:rPr>
          <w:rFonts w:ascii="仿宋_GB2312" w:eastAsia="仿宋_GB2312" w:hAnsi="仿宋_GB2312" w:cs="仿宋_GB2312" w:hint="eastAsia"/>
          <w:color w:val="000000" w:themeColor="text1"/>
          <w:sz w:val="24"/>
          <w:szCs w:val="24"/>
        </w:rPr>
        <w:t>名左右。</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到</w:t>
      </w:r>
      <w:r>
        <w:rPr>
          <w:rFonts w:ascii="仿宋_GB2312" w:eastAsia="仿宋_GB2312" w:hAnsi="仿宋_GB2312" w:cs="仿宋_GB2312"/>
          <w:color w:val="000000" w:themeColor="text1"/>
          <w:sz w:val="24"/>
          <w:szCs w:val="24"/>
        </w:rPr>
        <w:t>2050</w:t>
      </w:r>
      <w:r>
        <w:rPr>
          <w:rFonts w:ascii="仿宋_GB2312" w:eastAsia="仿宋_GB2312" w:hAnsi="仿宋_GB2312" w:cs="仿宋_GB2312" w:hint="eastAsia"/>
          <w:color w:val="000000" w:themeColor="text1"/>
          <w:sz w:val="24"/>
          <w:szCs w:val="24"/>
        </w:rPr>
        <w:t>年，增强学校可持续发展能力，将广州大学建成学科特色鲜明、具有国际影响力的高水平大学，若干学科居于世界领先水平。</w:t>
      </w:r>
    </w:p>
    <w:p w:rsidR="00E37845" w:rsidRDefault="00E22BDD">
      <w:pPr>
        <w:widowControl/>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br w:type="page"/>
      </w:r>
    </w:p>
    <w:p w:rsidR="00E37845" w:rsidRDefault="00E22BDD">
      <w:pPr>
        <w:pStyle w:val="1"/>
        <w:adjustRightInd w:val="0"/>
        <w:snapToGrid w:val="0"/>
        <w:spacing w:beforeLines="100" w:before="312" w:afterLines="100" w:after="312" w:line="360" w:lineRule="auto"/>
        <w:rPr>
          <w:rFonts w:ascii="微软雅黑" w:eastAsia="微软雅黑" w:hAnsi="微软雅黑" w:cs="微软雅黑"/>
          <w:szCs w:val="32"/>
        </w:rPr>
      </w:pPr>
      <w:bookmarkStart w:id="128" w:name="_Toc23800"/>
      <w:bookmarkStart w:id="129" w:name="_Toc28287"/>
      <w:bookmarkStart w:id="130" w:name="_Toc5377"/>
      <w:bookmarkStart w:id="131" w:name="_Toc19854"/>
      <w:bookmarkStart w:id="132" w:name="_Toc9772"/>
      <w:bookmarkStart w:id="133" w:name="_Toc25061"/>
      <w:bookmarkStart w:id="134" w:name="_Toc27291"/>
      <w:bookmarkStart w:id="135" w:name="_Toc18029"/>
      <w:bookmarkStart w:id="136" w:name="_Toc21775"/>
      <w:bookmarkStart w:id="137" w:name="_Toc519780927"/>
      <w:bookmarkStart w:id="138" w:name="_Toc19558"/>
      <w:bookmarkStart w:id="139" w:name="_Toc28456"/>
      <w:bookmarkStart w:id="140" w:name="_Toc2144"/>
      <w:bookmarkStart w:id="141" w:name="_Toc7911"/>
      <w:bookmarkStart w:id="142" w:name="_Toc17627"/>
      <w:bookmarkStart w:id="143" w:name="_Toc10744"/>
      <w:bookmarkStart w:id="144" w:name="_Toc3945"/>
      <w:bookmarkStart w:id="145" w:name="_Toc7258"/>
      <w:bookmarkStart w:id="146" w:name="_Toc26880"/>
      <w:bookmarkStart w:id="147" w:name="_Toc4282"/>
      <w:bookmarkStart w:id="148" w:name="_Toc28876"/>
      <w:bookmarkStart w:id="149" w:name="_Toc13572"/>
      <w:bookmarkStart w:id="150" w:name="_Toc17047"/>
      <w:bookmarkStart w:id="151" w:name="_Toc20571"/>
      <w:bookmarkStart w:id="152" w:name="_Toc26865"/>
      <w:r>
        <w:rPr>
          <w:rFonts w:ascii="微软雅黑" w:eastAsia="微软雅黑" w:hAnsi="微软雅黑" w:cs="微软雅黑" w:hint="eastAsia"/>
          <w:szCs w:val="32"/>
        </w:rPr>
        <w:lastRenderedPageBreak/>
        <w:t>2.校训与校歌</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53" w:name="_Toc32603"/>
      <w:bookmarkStart w:id="154" w:name="_Toc26308"/>
      <w:bookmarkStart w:id="155" w:name="_Toc13810"/>
      <w:bookmarkStart w:id="156" w:name="_Toc32661"/>
      <w:bookmarkStart w:id="157" w:name="_Toc22541"/>
      <w:bookmarkStart w:id="158" w:name="_Toc24750"/>
      <w:bookmarkStart w:id="159" w:name="_Toc30314"/>
      <w:bookmarkStart w:id="160" w:name="_Toc12127"/>
      <w:bookmarkStart w:id="161" w:name="_Toc1600"/>
      <w:bookmarkStart w:id="162" w:name="_Toc19955"/>
      <w:bookmarkStart w:id="163" w:name="_Toc22725"/>
      <w:bookmarkStart w:id="164" w:name="_Toc6143"/>
      <w:bookmarkStart w:id="165" w:name="_Toc519780928"/>
      <w:bookmarkStart w:id="166" w:name="_Toc24594"/>
      <w:bookmarkStart w:id="167" w:name="_Toc23489"/>
      <w:bookmarkStart w:id="168" w:name="_Toc19693"/>
      <w:bookmarkStart w:id="169" w:name="_Toc22114"/>
      <w:bookmarkStart w:id="170" w:name="_Toc25651"/>
      <w:bookmarkStart w:id="171" w:name="_Toc15348"/>
      <w:bookmarkStart w:id="172" w:name="_Toc16363"/>
      <w:bookmarkStart w:id="173" w:name="_Toc26358"/>
      <w:bookmarkStart w:id="174" w:name="_Toc905"/>
      <w:bookmarkStart w:id="175" w:name="_Toc27009"/>
      <w:bookmarkStart w:id="176" w:name="_Toc1715"/>
      <w:bookmarkStart w:id="177" w:name="_Toc20935"/>
      <w:r>
        <w:rPr>
          <w:rFonts w:ascii="黑体" w:eastAsia="黑体" w:hAnsi="黑体" w:cs="黑体"/>
          <w:color w:val="000000" w:themeColor="text1"/>
          <w:sz w:val="28"/>
          <w:szCs w:val="28"/>
        </w:rPr>
        <w:t>2.1</w:t>
      </w:r>
      <w:r>
        <w:rPr>
          <w:rFonts w:ascii="黑体" w:eastAsia="黑体" w:hAnsi="黑体" w:cs="黑体" w:hint="eastAsia"/>
          <w:color w:val="000000" w:themeColor="text1"/>
          <w:sz w:val="28"/>
          <w:szCs w:val="28"/>
        </w:rPr>
        <w:t>校训：博学笃行，与时俱进</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78" w:name="_Toc29132"/>
      <w:bookmarkStart w:id="179" w:name="_Toc23696"/>
      <w:bookmarkStart w:id="180" w:name="_Toc6342"/>
      <w:bookmarkStart w:id="181" w:name="_Toc5854"/>
      <w:bookmarkStart w:id="182" w:name="_Toc16438"/>
      <w:bookmarkStart w:id="183" w:name="_Toc26410"/>
      <w:bookmarkStart w:id="184" w:name="_Toc29652"/>
      <w:bookmarkStart w:id="185" w:name="_Toc19363"/>
      <w:bookmarkStart w:id="186" w:name="_Toc20419"/>
      <w:bookmarkStart w:id="187" w:name="_Toc30232"/>
      <w:bookmarkStart w:id="188" w:name="_Toc12328"/>
      <w:bookmarkStart w:id="189" w:name="_Toc519780929"/>
      <w:bookmarkStart w:id="190" w:name="_Toc17399"/>
      <w:bookmarkStart w:id="191" w:name="_Toc7851"/>
      <w:bookmarkStart w:id="192" w:name="_Toc16119"/>
      <w:bookmarkStart w:id="193" w:name="_Toc23458"/>
      <w:bookmarkStart w:id="194" w:name="_Toc14499"/>
      <w:bookmarkStart w:id="195" w:name="_Toc11128"/>
      <w:bookmarkStart w:id="196" w:name="_Toc27780"/>
      <w:bookmarkStart w:id="197" w:name="_Toc23260"/>
      <w:bookmarkStart w:id="198" w:name="_Toc27909"/>
      <w:bookmarkStart w:id="199" w:name="_Toc6870"/>
      <w:bookmarkStart w:id="200" w:name="_Toc6393"/>
      <w:bookmarkStart w:id="201" w:name="_Toc8281"/>
      <w:bookmarkStart w:id="202" w:name="_Toc9113"/>
      <w:r>
        <w:rPr>
          <w:rFonts w:ascii="黑体" w:eastAsia="黑体" w:hAnsi="黑体" w:cs="黑体"/>
          <w:color w:val="000000" w:themeColor="text1"/>
          <w:sz w:val="28"/>
          <w:szCs w:val="28"/>
        </w:rPr>
        <w:t>2.2</w:t>
      </w:r>
      <w:r>
        <w:rPr>
          <w:rFonts w:ascii="黑体" w:eastAsia="黑体" w:hAnsi="黑体" w:cs="黑体" w:hint="eastAsia"/>
          <w:color w:val="000000" w:themeColor="text1"/>
          <w:sz w:val="28"/>
          <w:szCs w:val="28"/>
        </w:rPr>
        <w:t>校歌</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E37845" w:rsidRDefault="00E22BDD">
      <w:pPr>
        <w:adjustRightInd w:val="0"/>
        <w:snapToGrid w:val="0"/>
        <w:spacing w:beforeLines="100" w:before="312" w:afterLines="100" w:after="312"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noProof/>
          <w:color w:val="000000" w:themeColor="text1"/>
          <w:sz w:val="24"/>
          <w:szCs w:val="24"/>
        </w:rPr>
        <w:drawing>
          <wp:inline distT="0" distB="0" distL="114300" distR="114300">
            <wp:extent cx="5025390" cy="6961505"/>
            <wp:effectExtent l="0" t="0" r="3810" b="10795"/>
            <wp:docPr id="4" name="图片 4" descr="xg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xgcp"/>
                    <pic:cNvPicPr>
                      <a:picLocks noChangeAspect="1"/>
                    </pic:cNvPicPr>
                  </pic:nvPicPr>
                  <pic:blipFill>
                    <a:blip r:embed="rId10" cstate="print"/>
                    <a:stretch>
                      <a:fillRect/>
                    </a:stretch>
                  </pic:blipFill>
                  <pic:spPr>
                    <a:xfrm>
                      <a:off x="0" y="0"/>
                      <a:ext cx="5025390" cy="6961505"/>
                    </a:xfrm>
                    <a:prstGeom prst="rect">
                      <a:avLst/>
                    </a:prstGeom>
                  </pic:spPr>
                </pic:pic>
              </a:graphicData>
            </a:graphic>
          </wp:inline>
        </w:drawing>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lastRenderedPageBreak/>
        <w:br w:type="page"/>
      </w:r>
    </w:p>
    <w:p w:rsidR="00E37845" w:rsidRDefault="00E22BDD">
      <w:pPr>
        <w:pStyle w:val="1"/>
        <w:jc w:val="center"/>
        <w:rPr>
          <w:rFonts w:ascii="方正小标宋简体" w:eastAsia="方正小标宋简体" w:hAnsi="方正小标宋简体" w:cs="方正小标宋简体"/>
          <w:sz w:val="44"/>
        </w:rPr>
      </w:pPr>
      <w:bookmarkStart w:id="203" w:name="_Toc12981"/>
      <w:r>
        <w:rPr>
          <w:rFonts w:ascii="方正小标宋简体" w:eastAsia="方正小标宋简体" w:hAnsi="方正小标宋简体" w:cs="方正小标宋简体" w:hint="eastAsia"/>
          <w:sz w:val="44"/>
        </w:rPr>
        <w:lastRenderedPageBreak/>
        <w:t>第二篇  人事工作</w:t>
      </w:r>
      <w:bookmarkEnd w:id="203"/>
    </w:p>
    <w:p w:rsidR="00E37845" w:rsidRDefault="00E22BDD">
      <w:pPr>
        <w:pStyle w:val="1"/>
        <w:adjustRightInd w:val="0"/>
        <w:snapToGrid w:val="0"/>
        <w:spacing w:beforeLines="100" w:before="312" w:afterLines="100" w:after="312" w:line="360" w:lineRule="auto"/>
        <w:rPr>
          <w:rFonts w:ascii="微软雅黑" w:eastAsia="微软雅黑" w:hAnsi="微软雅黑" w:cs="微软雅黑"/>
        </w:rPr>
      </w:pPr>
      <w:bookmarkStart w:id="204" w:name="_Toc4240"/>
      <w:bookmarkStart w:id="205" w:name="_Toc3702"/>
      <w:bookmarkStart w:id="206" w:name="_Toc15098"/>
      <w:bookmarkStart w:id="207" w:name="_Toc428"/>
      <w:bookmarkStart w:id="208" w:name="_Toc6394"/>
      <w:bookmarkStart w:id="209" w:name="_Toc3449"/>
      <w:bookmarkStart w:id="210" w:name="_Toc1178"/>
      <w:bookmarkStart w:id="211" w:name="_Toc8747"/>
      <w:bookmarkStart w:id="212" w:name="_Toc20211"/>
      <w:bookmarkStart w:id="213" w:name="_Toc16994"/>
      <w:bookmarkStart w:id="214" w:name="_Toc29380"/>
      <w:bookmarkStart w:id="215" w:name="_Toc17512"/>
      <w:bookmarkStart w:id="216" w:name="_Toc23591"/>
      <w:bookmarkStart w:id="217" w:name="_Toc23413"/>
      <w:bookmarkStart w:id="218" w:name="_Toc32448"/>
      <w:bookmarkStart w:id="219" w:name="_Toc32125"/>
      <w:bookmarkStart w:id="220" w:name="_Toc15102"/>
      <w:bookmarkStart w:id="221" w:name="_Toc19427"/>
      <w:bookmarkStart w:id="222" w:name="_Toc20456"/>
      <w:bookmarkStart w:id="223" w:name="_Toc19977"/>
      <w:bookmarkStart w:id="224" w:name="_Toc24366"/>
      <w:bookmarkStart w:id="225" w:name="_Toc28036"/>
      <w:bookmarkStart w:id="226" w:name="_Toc9259"/>
      <w:bookmarkStart w:id="227" w:name="_Toc923"/>
      <w:bookmarkStart w:id="228" w:name="_Toc1044"/>
      <w:bookmarkStart w:id="229" w:name="_Toc18339"/>
      <w:bookmarkStart w:id="230" w:name="_Toc519780930"/>
      <w:bookmarkStart w:id="231" w:name="_Toc27673"/>
      <w:bookmarkStart w:id="232" w:name="_Toc15866"/>
      <w:r>
        <w:rPr>
          <w:rFonts w:ascii="微软雅黑" w:eastAsia="微软雅黑" w:hAnsi="微软雅黑" w:cs="微软雅黑" w:hint="eastAsia"/>
        </w:rPr>
        <w:t>3.学术道德规范</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33" w:name="_Toc31034"/>
      <w:bookmarkStart w:id="234" w:name="_Toc18779"/>
      <w:bookmarkStart w:id="235" w:name="_Toc28271"/>
      <w:bookmarkEnd w:id="221"/>
      <w:bookmarkEnd w:id="222"/>
      <w:bookmarkEnd w:id="223"/>
      <w:bookmarkEnd w:id="224"/>
      <w:bookmarkEnd w:id="225"/>
      <w:bookmarkEnd w:id="226"/>
      <w:bookmarkEnd w:id="227"/>
      <w:bookmarkEnd w:id="228"/>
      <w:bookmarkEnd w:id="229"/>
      <w:bookmarkEnd w:id="230"/>
      <w:bookmarkEnd w:id="231"/>
      <w:bookmarkEnd w:id="232"/>
      <w:r>
        <w:rPr>
          <w:rFonts w:ascii="黑体" w:eastAsia="黑体" w:hAnsi="黑体" w:cs="黑体" w:hint="eastAsia"/>
          <w:color w:val="000000" w:themeColor="text1"/>
          <w:sz w:val="28"/>
          <w:szCs w:val="28"/>
        </w:rPr>
        <w:t>3.1 高等学校教师职业道德规范</w:t>
      </w:r>
      <w:bookmarkEnd w:id="233"/>
      <w:bookmarkEnd w:id="234"/>
      <w:bookmarkEnd w:id="235"/>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黑体" w:eastAsia="黑体" w:hAnsi="黑体" w:cs="黑体" w:hint="eastAsia"/>
          <w:color w:val="000000" w:themeColor="text1"/>
          <w:kern w:val="0"/>
          <w:sz w:val="24"/>
          <w:szCs w:val="24"/>
        </w:rPr>
        <w:t>一、爱国守法</w:t>
      </w:r>
      <w:r>
        <w:rPr>
          <w:rFonts w:ascii="仿宋_GB2312" w:eastAsia="仿宋_GB2312" w:hAnsi="仿宋_GB2312" w:cs="仿宋_GB2312" w:hint="eastAsia"/>
          <w:color w:val="000000" w:themeColor="text1"/>
          <w:kern w:val="0"/>
          <w:sz w:val="24"/>
          <w:szCs w:val="24"/>
        </w:rPr>
        <w:t>。热爱祖国，热爱人民，拥护中国共产党领导，拥护中国特色社会主义制度。遵守宪法和法律法规，贯彻党和国家教育方针，依法履行教师职责，维护社会稳定和校园和谐。不得有损害国家利益和不利于学生健康成长的言行。</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黑体" w:eastAsia="黑体" w:hAnsi="黑体" w:cs="黑体" w:hint="eastAsia"/>
          <w:color w:val="000000" w:themeColor="text1"/>
          <w:kern w:val="0"/>
          <w:sz w:val="24"/>
          <w:szCs w:val="24"/>
        </w:rPr>
        <w:t>二、敬业爱生</w:t>
      </w:r>
      <w:r>
        <w:rPr>
          <w:rFonts w:ascii="仿宋_GB2312" w:eastAsia="仿宋_GB2312" w:hAnsi="仿宋_GB2312" w:cs="仿宋_GB2312" w:hint="eastAsia"/>
          <w:color w:val="000000" w:themeColor="text1"/>
          <w:kern w:val="0"/>
          <w:sz w:val="24"/>
          <w:szCs w:val="24"/>
        </w:rPr>
        <w:t>。忠诚人民教育事业，树立崇高职业理想，以人才培养、</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科学研究、社会服务和文化传承创新为己任。恪尽职守，甘于奉献。终身学习，刻苦钻研。真心关爱学生，严格要求学生，公正对待学生，做学生良师益友。不得损害学生和学校的合法权益。</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黑体" w:eastAsia="黑体" w:hAnsi="黑体" w:cs="黑体" w:hint="eastAsia"/>
          <w:color w:val="000000" w:themeColor="text1"/>
          <w:kern w:val="0"/>
          <w:sz w:val="24"/>
          <w:szCs w:val="24"/>
        </w:rPr>
        <w:t>三、教书育人</w:t>
      </w:r>
      <w:r>
        <w:rPr>
          <w:rFonts w:ascii="仿宋_GB2312" w:eastAsia="仿宋_GB2312" w:hAnsi="仿宋_GB2312" w:cs="仿宋_GB2312" w:hint="eastAsia"/>
          <w:color w:val="000000" w:themeColor="text1"/>
          <w:kern w:val="0"/>
          <w:sz w:val="24"/>
          <w:szCs w:val="24"/>
        </w:rPr>
        <w:t>。坚持育人为本，立德树人。遵循教育规律，实施素质教育。注重学思结合，知行合一，因材施教，不断提高教育质量。严慈相济，教学相长，诲人不倦。尊重学生个性，促进学生全面发展。不拒绝学生的合理要求。不得从事影响教育教学工作的兼职。</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黑体" w:eastAsia="黑体" w:hAnsi="黑体" w:cs="黑体" w:hint="eastAsia"/>
          <w:color w:val="000000" w:themeColor="text1"/>
          <w:kern w:val="0"/>
          <w:sz w:val="24"/>
          <w:szCs w:val="24"/>
        </w:rPr>
        <w:t>四、严谨治学</w:t>
      </w:r>
      <w:r>
        <w:rPr>
          <w:rFonts w:ascii="仿宋_GB2312" w:eastAsia="仿宋_GB2312" w:hAnsi="仿宋_GB2312" w:cs="仿宋_GB2312" w:hint="eastAsia"/>
          <w:color w:val="000000" w:themeColor="text1"/>
          <w:kern w:val="0"/>
          <w:sz w:val="24"/>
          <w:szCs w:val="24"/>
        </w:rPr>
        <w:t>。弘扬科学精神，勇于探索，追求真理，修正错误，精益求精。实事求是，发扬民主，团结合作，协同创新。秉持学术良知，恪守学术规范。尊重他人劳动和学术成果，维护学术自由和学术尊严。诚实守信，力戒浮躁。坚决抵制学术失范和学术不端行为。</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黑体" w:eastAsia="黑体" w:hAnsi="黑体" w:cs="黑体" w:hint="eastAsia"/>
          <w:color w:val="000000" w:themeColor="text1"/>
          <w:kern w:val="0"/>
          <w:sz w:val="24"/>
          <w:szCs w:val="24"/>
        </w:rPr>
        <w:t>五、服务社会</w:t>
      </w:r>
      <w:r>
        <w:rPr>
          <w:rFonts w:ascii="仿宋_GB2312" w:eastAsia="仿宋_GB2312" w:hAnsi="仿宋_GB2312" w:cs="仿宋_GB2312" w:hint="eastAsia"/>
          <w:color w:val="000000" w:themeColor="text1"/>
          <w:kern w:val="0"/>
          <w:sz w:val="24"/>
          <w:szCs w:val="24"/>
        </w:rPr>
        <w:t>。勇担社会责任，为国家富强、民族振兴和人类进步服务。传播优秀文化，普及科学知识。热心公益，服务大众。主动参与社会实践，自觉承担社会义务，积极提供专业服务。坚决反对滥用学术资源和学术影响。</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黑体" w:eastAsia="黑体" w:hAnsi="黑体" w:cs="黑体" w:hint="eastAsia"/>
          <w:color w:val="000000" w:themeColor="text1"/>
          <w:kern w:val="0"/>
          <w:sz w:val="24"/>
          <w:szCs w:val="24"/>
        </w:rPr>
        <w:t>六、为人师表</w:t>
      </w:r>
      <w:r>
        <w:rPr>
          <w:rFonts w:ascii="仿宋_GB2312" w:eastAsia="仿宋_GB2312" w:hAnsi="仿宋_GB2312" w:cs="仿宋_GB2312" w:hint="eastAsia"/>
          <w:color w:val="000000" w:themeColor="text1"/>
          <w:kern w:val="0"/>
          <w:sz w:val="24"/>
          <w:szCs w:val="24"/>
        </w:rPr>
        <w:t>。学为人师，行为世范。淡泊名利，志存高远。树立优良学风教风，以高尚师德、人格魅力和学识风范教育感染学生。模范遵守社会公德，维护社会正义，引领社会风尚。言行雅正，举止文明。自尊自律，清廉从教，以身作则。自觉抵制有损教师职业声誉的行为。</w:t>
      </w:r>
    </w:p>
    <w:p w:rsidR="00E37845" w:rsidRDefault="00E22BDD">
      <w:pPr>
        <w:pStyle w:val="2"/>
        <w:autoSpaceDE w:val="0"/>
        <w:autoSpaceDN w:val="0"/>
        <w:adjustRightInd w:val="0"/>
        <w:snapToGrid w:val="0"/>
        <w:spacing w:beforeLines="50" w:before="156" w:afterLines="50" w:after="156" w:line="360" w:lineRule="auto"/>
        <w:ind w:firstLineChars="160" w:firstLine="482"/>
        <w:jc w:val="left"/>
        <w:rPr>
          <w:rFonts w:ascii="黑体" w:eastAsia="黑体" w:hAnsi="黑体" w:cs="黑体"/>
          <w:color w:val="000000" w:themeColor="text1"/>
          <w:kern w:val="0"/>
          <w:sz w:val="30"/>
          <w:szCs w:val="30"/>
        </w:rPr>
      </w:pPr>
      <w:bookmarkStart w:id="236" w:name="_Toc14141"/>
      <w:bookmarkStart w:id="237" w:name="_Toc7686"/>
      <w:bookmarkStart w:id="238" w:name="_Toc11080"/>
      <w:bookmarkStart w:id="239" w:name="_Toc26197"/>
      <w:bookmarkStart w:id="240" w:name="_Toc24847"/>
      <w:bookmarkStart w:id="241" w:name="_Toc9592"/>
      <w:bookmarkStart w:id="242" w:name="_Toc7493"/>
      <w:bookmarkStart w:id="243" w:name="_Toc4718"/>
      <w:bookmarkStart w:id="244" w:name="_Toc30869"/>
      <w:bookmarkStart w:id="245" w:name="_Toc519780931"/>
      <w:bookmarkStart w:id="246" w:name="_Toc19441"/>
      <w:bookmarkStart w:id="247" w:name="_Toc24036"/>
      <w:bookmarkStart w:id="248" w:name="_Toc1487"/>
      <w:bookmarkStart w:id="249" w:name="_Toc8216"/>
      <w:bookmarkStart w:id="250" w:name="_Toc31289"/>
      <w:bookmarkStart w:id="251" w:name="_Toc31171"/>
      <w:bookmarkStart w:id="252" w:name="_Toc18153"/>
      <w:bookmarkStart w:id="253" w:name="_Toc3102"/>
      <w:bookmarkStart w:id="254" w:name="_Toc24051"/>
      <w:bookmarkStart w:id="255" w:name="_Toc5085"/>
      <w:bookmarkStart w:id="256" w:name="_Toc14233"/>
      <w:bookmarkStart w:id="257" w:name="_Toc31228"/>
      <w:bookmarkStart w:id="258" w:name="_Toc8228"/>
      <w:r>
        <w:rPr>
          <w:rFonts w:ascii="黑体" w:eastAsia="黑体" w:hAnsi="黑体" w:cs="黑体"/>
          <w:color w:val="000000" w:themeColor="text1"/>
          <w:kern w:val="0"/>
          <w:sz w:val="30"/>
          <w:szCs w:val="30"/>
        </w:rPr>
        <w:br w:type="page"/>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59" w:name="_Toc13308"/>
      <w:bookmarkStart w:id="260" w:name="_Toc23657"/>
      <w:bookmarkStart w:id="261" w:name="_Toc19629"/>
      <w:bookmarkStart w:id="262" w:name="_Toc1631"/>
      <w:bookmarkStart w:id="263" w:name="_Toc7205"/>
      <w:bookmarkStart w:id="264" w:name="_Toc4461"/>
      <w:r>
        <w:rPr>
          <w:rFonts w:ascii="黑体" w:eastAsia="黑体" w:hAnsi="黑体" w:cs="黑体"/>
          <w:color w:val="000000" w:themeColor="text1"/>
          <w:sz w:val="28"/>
          <w:szCs w:val="28"/>
        </w:rPr>
        <w:lastRenderedPageBreak/>
        <w:t xml:space="preserve">3.2 </w:t>
      </w:r>
      <w:r>
        <w:rPr>
          <w:rFonts w:ascii="黑体" w:eastAsia="黑体" w:hAnsi="黑体" w:cs="黑体" w:hint="eastAsia"/>
          <w:color w:val="000000" w:themeColor="text1"/>
          <w:sz w:val="28"/>
          <w:szCs w:val="28"/>
        </w:rPr>
        <w:t>教育部关于建立健全高校师德建设长效机制的意见</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E37845" w:rsidRDefault="00E37845">
      <w:pPr>
        <w:autoSpaceDE w:val="0"/>
        <w:autoSpaceDN w:val="0"/>
        <w:adjustRightInd w:val="0"/>
        <w:snapToGrid w:val="0"/>
        <w:spacing w:line="360" w:lineRule="auto"/>
        <w:jc w:val="center"/>
        <w:rPr>
          <w:rFonts w:ascii="仿宋_GB2312" w:eastAsia="仿宋_GB2312" w:hAnsi="仿宋_GB2312" w:cs="仿宋_GB2312"/>
          <w:color w:val="000000" w:themeColor="text1"/>
          <w:kern w:val="0"/>
          <w:sz w:val="11"/>
          <w:szCs w:val="11"/>
        </w:rPr>
      </w:pPr>
    </w:p>
    <w:p w:rsidR="00E37845" w:rsidRDefault="00E22BDD">
      <w:pPr>
        <w:autoSpaceDE w:val="0"/>
        <w:autoSpaceDN w:val="0"/>
        <w:adjustRightInd w:val="0"/>
        <w:snapToGrid w:val="0"/>
        <w:spacing w:line="312" w:lineRule="auto"/>
        <w:rPr>
          <w:rFonts w:ascii="仿宋_GB2312" w:eastAsia="仿宋_GB2312" w:hAnsi="仿宋_GB2312" w:cs="仿宋_GB2312"/>
          <w:color w:val="000000" w:themeColor="text1"/>
          <w:kern w:val="0"/>
          <w:sz w:val="24"/>
          <w:szCs w:val="24"/>
        </w:rPr>
      </w:pPr>
      <w:r>
        <w:rPr>
          <w:rFonts w:ascii="楷体_GB2312" w:eastAsia="楷体_GB2312" w:hAnsi="楷体_GB2312" w:cs="楷体_GB2312" w:hint="eastAsia"/>
          <w:color w:val="000000" w:themeColor="text1"/>
          <w:kern w:val="0"/>
          <w:sz w:val="24"/>
          <w:szCs w:val="24"/>
        </w:rPr>
        <w:t>各省、自治区、直辖市教育厅（教委），有关部门（单位）教育司（局），新疆生产建设兵团教育局，部属各高等学校</w:t>
      </w:r>
      <w:r>
        <w:rPr>
          <w:rFonts w:ascii="仿宋_GB2312" w:eastAsia="仿宋_GB2312" w:hAnsi="仿宋_GB2312" w:cs="仿宋_GB2312" w:hint="eastAsia"/>
          <w:color w:val="000000" w:themeColor="text1"/>
          <w:kern w:val="0"/>
          <w:sz w:val="24"/>
          <w:szCs w:val="24"/>
        </w:rPr>
        <w:t>：</w:t>
      </w:r>
    </w:p>
    <w:p w:rsidR="00E37845" w:rsidRDefault="00E22BDD">
      <w:pPr>
        <w:autoSpaceDE w:val="0"/>
        <w:autoSpaceDN w:val="0"/>
        <w:adjustRightInd w:val="0"/>
        <w:snapToGrid w:val="0"/>
        <w:spacing w:line="312"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为深入贯彻习近平总书记</w:t>
      </w:r>
      <w:r>
        <w:rPr>
          <w:rFonts w:ascii="仿宋_GB2312" w:eastAsia="仿宋_GB2312" w:hAnsi="仿宋_GB2312" w:cs="仿宋_GB2312"/>
          <w:color w:val="000000" w:themeColor="text1"/>
          <w:kern w:val="0"/>
          <w:sz w:val="24"/>
          <w:szCs w:val="24"/>
        </w:rPr>
        <w:t>9月9日在北京师范大学师生代表座谈会上的重要讲话精神，积极引导广大高校教师做有理想信念、有道德情操、有扎实学识、有仁爱之心的党和人民满意的好老师，大力加强和改进师德建设，努力培养造就一支师德高尚、业务精湛、结构合理、充满活力的高素质专业化高校教师队伍，现就建立健全高校师德建设长效机制提出如下意见：</w:t>
      </w:r>
    </w:p>
    <w:p w:rsidR="00E37845" w:rsidRDefault="00E22BDD">
      <w:pPr>
        <w:autoSpaceDE w:val="0"/>
        <w:autoSpaceDN w:val="0"/>
        <w:adjustRightInd w:val="0"/>
        <w:snapToGrid w:val="0"/>
        <w:spacing w:line="312" w:lineRule="auto"/>
        <w:ind w:firstLineChars="200" w:firstLine="482"/>
        <w:jc w:val="left"/>
        <w:rPr>
          <w:rFonts w:ascii="黑体" w:eastAsia="黑体" w:hAnsi="黑体" w:cs="黑体"/>
          <w:b/>
          <w:bCs/>
          <w:color w:val="000000" w:themeColor="text1"/>
          <w:kern w:val="0"/>
          <w:sz w:val="24"/>
          <w:szCs w:val="24"/>
        </w:rPr>
      </w:pPr>
      <w:r>
        <w:rPr>
          <w:rFonts w:ascii="黑体" w:eastAsia="黑体" w:hAnsi="黑体" w:cs="黑体" w:hint="eastAsia"/>
          <w:b/>
          <w:bCs/>
          <w:color w:val="000000" w:themeColor="text1"/>
          <w:kern w:val="0"/>
          <w:sz w:val="24"/>
          <w:szCs w:val="24"/>
        </w:rPr>
        <w:t>一、深刻认识新时期建立健全高校师德建设长效机制的重要性和紧迫性</w:t>
      </w:r>
    </w:p>
    <w:p w:rsidR="00E37845" w:rsidRDefault="00E22BDD">
      <w:pPr>
        <w:autoSpaceDE w:val="0"/>
        <w:autoSpaceDN w:val="0"/>
        <w:adjustRightInd w:val="0"/>
        <w:snapToGrid w:val="0"/>
        <w:spacing w:line="312"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高校教师的思想政治素质和道德情操直接影响着青年学生世界观、人生观、价值观的养成，决定着人才培养的质量，关系着国家和民族的未来。加强和改进高校师德建设工作，对于全面提高高等教育质量、推进高等教育事业科学发展，培养中国特色社会主义事业的建设者和接班人、实现中华民族伟大复兴的中国梦，具有重大而深远的意义。</w:t>
      </w:r>
    </w:p>
    <w:p w:rsidR="00E37845" w:rsidRDefault="00E22BDD">
      <w:pPr>
        <w:autoSpaceDE w:val="0"/>
        <w:autoSpaceDN w:val="0"/>
        <w:adjustRightInd w:val="0"/>
        <w:snapToGrid w:val="0"/>
        <w:spacing w:line="312"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长期以来，广大高校教师忠诚党的教育事业，呕心沥血、默默奉献，潜心治学、教书育人，敢于担当、锐意创新，为高等教育改革发展做出了巨大贡献，赢得了全社会广泛赞誉和普遍尊重。但是，当前社会变革转型时期所带来的负面现象也对教师产生影响。少数高校教师理想信念模糊，育人意识淡薄，教学敷衍，学风浮躁，甚至学术不端，言行失范、道德败坏等，严重损害了高校教师的社会形象和职业声誉。一些地方和高校对新时期师德建设重视不够，工作方法陈旧、实效性不强。各地各高校要充分认识新时期加强和改进高校师德建设工作的重要性和紧迫性，建立健全高校师德建设长效机制，从根本上遏制和杜绝高校师德失范现象的发生，切实提高高校师德建设水平，全面提升高校教师师德素养。</w:t>
      </w:r>
    </w:p>
    <w:p w:rsidR="00E37845" w:rsidRDefault="00E22BDD">
      <w:pPr>
        <w:autoSpaceDE w:val="0"/>
        <w:autoSpaceDN w:val="0"/>
        <w:adjustRightInd w:val="0"/>
        <w:snapToGrid w:val="0"/>
        <w:spacing w:line="312" w:lineRule="auto"/>
        <w:ind w:firstLineChars="200" w:firstLine="482"/>
        <w:jc w:val="left"/>
        <w:rPr>
          <w:rFonts w:ascii="黑体" w:eastAsia="黑体" w:hAnsi="黑体" w:cs="黑体"/>
          <w:b/>
          <w:bCs/>
          <w:color w:val="000000" w:themeColor="text1"/>
          <w:kern w:val="0"/>
          <w:sz w:val="24"/>
          <w:szCs w:val="24"/>
        </w:rPr>
      </w:pPr>
      <w:r>
        <w:rPr>
          <w:rFonts w:ascii="黑体" w:eastAsia="黑体" w:hAnsi="黑体" w:cs="黑体" w:hint="eastAsia"/>
          <w:b/>
          <w:bCs/>
          <w:color w:val="000000" w:themeColor="text1"/>
          <w:kern w:val="0"/>
          <w:sz w:val="24"/>
          <w:szCs w:val="24"/>
        </w:rPr>
        <w:t>二、建立健全高校师德建设长效机制的原则和要求</w:t>
      </w:r>
    </w:p>
    <w:p w:rsidR="00E37845" w:rsidRDefault="00E22BDD">
      <w:pPr>
        <w:autoSpaceDE w:val="0"/>
        <w:autoSpaceDN w:val="0"/>
        <w:adjustRightInd w:val="0"/>
        <w:snapToGrid w:val="0"/>
        <w:spacing w:line="312"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建立健全高校师德建设长效机制的基本原则：坚持价值引领，以社会主义核心价值观为高校教师崇德修身的基本遵循，促进高校教师带头培育和践行社会主义核心价值观。坚持师德为上，以立德树人为出发点和立足点，找准与高校教师思想的共鸣点，增强高校师德建设的针对性和贴近性，培育高校教师高尚道德情操。坚持以人为本，关注高校教师发展诉求和价值愿望，落实高校教师主体地位，激发高校教师的责任感使命感。坚持改进创新，不断探索新时期高校师德建设的规律特点，善于运用高校教师喜闻乐见的方式方法，增强高校师德建设的实际效果。</w:t>
      </w:r>
    </w:p>
    <w:p w:rsidR="00E37845" w:rsidRDefault="00E22BDD">
      <w:pPr>
        <w:autoSpaceDE w:val="0"/>
        <w:autoSpaceDN w:val="0"/>
        <w:adjustRightInd w:val="0"/>
        <w:snapToGrid w:val="0"/>
        <w:spacing w:line="312"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建立健全高校师德建设长效机制的工作要求：充分尊重高校教师主体地位，注重宣传教育、示范引领、实践养成相统一，政策保障、制度规范、法律约束相衔接，建立教育、宣传、考核、监督与奖惩相结合的高校师德建设工作机制，引导广大高校教师自尊</w:t>
      </w:r>
      <w:r>
        <w:rPr>
          <w:rFonts w:ascii="仿宋_GB2312" w:eastAsia="仿宋_GB2312" w:hAnsi="仿宋_GB2312" w:cs="仿宋_GB2312" w:hint="eastAsia"/>
          <w:color w:val="000000" w:themeColor="text1"/>
          <w:kern w:val="0"/>
          <w:sz w:val="24"/>
          <w:szCs w:val="24"/>
        </w:rPr>
        <w:lastRenderedPageBreak/>
        <w:t>自律自强，做学生敬仰爱戴的品行之师、学问之师，做社会主义道德的示范者、诚信风尚的引领者、公平正义的维护者。</w:t>
      </w:r>
    </w:p>
    <w:p w:rsidR="00E37845" w:rsidRDefault="00E22BDD">
      <w:pPr>
        <w:autoSpaceDE w:val="0"/>
        <w:autoSpaceDN w:val="0"/>
        <w:adjustRightInd w:val="0"/>
        <w:snapToGrid w:val="0"/>
        <w:spacing w:line="312" w:lineRule="auto"/>
        <w:ind w:firstLineChars="200" w:firstLine="482"/>
        <w:jc w:val="left"/>
        <w:rPr>
          <w:rFonts w:ascii="黑体" w:eastAsia="黑体" w:hAnsi="黑体" w:cs="黑体"/>
          <w:b/>
          <w:bCs/>
          <w:color w:val="000000" w:themeColor="text1"/>
          <w:kern w:val="0"/>
          <w:sz w:val="24"/>
          <w:szCs w:val="24"/>
        </w:rPr>
      </w:pPr>
      <w:r>
        <w:rPr>
          <w:rFonts w:ascii="黑体" w:eastAsia="黑体" w:hAnsi="黑体" w:cs="黑体" w:hint="eastAsia"/>
          <w:b/>
          <w:bCs/>
          <w:color w:val="000000" w:themeColor="text1"/>
          <w:kern w:val="0"/>
          <w:sz w:val="24"/>
          <w:szCs w:val="24"/>
        </w:rPr>
        <w:t>三、建立健全高校师德建设长效机制的主要举措</w:t>
      </w:r>
    </w:p>
    <w:p w:rsidR="00E37845" w:rsidRDefault="00E22BDD">
      <w:pPr>
        <w:autoSpaceDE w:val="0"/>
        <w:autoSpaceDN w:val="0"/>
        <w:adjustRightInd w:val="0"/>
        <w:snapToGrid w:val="0"/>
        <w:spacing w:line="312"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创新师德教育，引导教师树立崇高理想。将师德教育摆在高校教师培养首位，贯穿高校教师职业生涯全过程。青年教师入职培训必须开设师德教育专题。要将师德教育作为优秀教师团队培养，骨干教师、学科带头人和学科领军人物培育的重要内容。重点加强社会主义核心价值观教育，重视理想信念教育、法制教育和心理健康教育。创新教育理念、模式和手段。建立师德建设专家库，把高校师德重大典型、全国教书育人楷模、一线优秀教师等请进课堂，用他们的感人事迹诠释师德内涵。举行新教师入职宣誓仪式和老教师荣休仪式。结合教学科研、社会服务活动开展师德教育，鼓励广大高校教师参与调查研究、学习考察、挂职锻炼、志愿服务等实践活动，切实增强师德教育效果。</w:t>
      </w:r>
    </w:p>
    <w:p w:rsidR="00E37845" w:rsidRDefault="00E22BDD">
      <w:pPr>
        <w:autoSpaceDE w:val="0"/>
        <w:autoSpaceDN w:val="0"/>
        <w:adjustRightInd w:val="0"/>
        <w:snapToGrid w:val="0"/>
        <w:spacing w:line="312"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加强师德宣传，培育重德养德良好风尚。把握正确舆论导向，坚持师德宣传制度化、常态化，将师德宣传作为高校宣传思想工作的重要组成部分。系统宣讲《教育法》《高等教育法》《教师法》和教育规划纲要等法规文件中有关师德的要求，宣传普及《高校教师职业道德规范》。把培育良好师德师风作为大学校园文化建设的核心内容，挖掘和提炼名家名师为人为学为师的大爱师魂，生动展现当代高校教师的精神风貌。充分利用教师节等重大节庆日、纪念日契机，通过电视、广播、报纸、网站及微博、微信、微电影等新媒体形式，集中宣传高校优秀教师的典型事迹，努力营造崇尚师德、争创师德典型的良好舆论环境和社会氛围。对于高校师德建设中出现的热点难点问题，要及时应对并有效引导。</w:t>
      </w:r>
    </w:p>
    <w:p w:rsidR="00E37845" w:rsidRDefault="00E22BDD">
      <w:pPr>
        <w:autoSpaceDE w:val="0"/>
        <w:autoSpaceDN w:val="0"/>
        <w:adjustRightInd w:val="0"/>
        <w:snapToGrid w:val="0"/>
        <w:spacing w:line="312"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健全师德考核，促进教师提高自身修养。将师德考核作为高校教师考核的重要内容。师德考核要充分尊重教师主体地位，坚持客观公正、公平公开原则，采取个人自评、学生测评、同事互评、单位考评等多种形式进行。考核结果应通知教师本人，考核优秀的应当予以公示表彰，确定考核不合格者应当向教师说明理由，听取教师本人意见。考核结果存入教师档案。师德考核不合格者年度考核应评定为不合格，并在教师职务（职称）评审、岗位聘用、评优奖励等环节实行一票否决。高校结合实际制定师德考核的具体实施办法。</w:t>
      </w:r>
    </w:p>
    <w:p w:rsidR="00E37845" w:rsidRDefault="00E22BDD">
      <w:pPr>
        <w:autoSpaceDE w:val="0"/>
        <w:autoSpaceDN w:val="0"/>
        <w:adjustRightInd w:val="0"/>
        <w:snapToGrid w:val="0"/>
        <w:spacing w:line="312"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强化师德监督，有效防止师德失范行为。将师德建设作为高校教育质量督导评估重要内容。高校要建立健全师德建设年度评议、师德状况调研、师德重大问题报告和师德舆情快速反应制度，及时研究加强和改进师德建设的政策措施。构建高校、教师、学生、家长和社会多方参与的师德监督体系。健全完善学生评教机制。充分发挥教职工代表大会、工会、学术委员会、教授委员会等在师德建设中的作用。高校及主管部门建立师德投诉举报平台，及时掌握师德信息动态，及时纠正不良倾向和问题。对师德问题做到有诉必查，有查必果，有果必复。</w:t>
      </w:r>
    </w:p>
    <w:p w:rsidR="00E37845" w:rsidRDefault="00E22BDD">
      <w:pPr>
        <w:autoSpaceDE w:val="0"/>
        <w:autoSpaceDN w:val="0"/>
        <w:adjustRightInd w:val="0"/>
        <w:snapToGrid w:val="0"/>
        <w:spacing w:line="312"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lastRenderedPageBreak/>
        <w:t>注重师德激励，引导教师提升精神境界。完善师德表彰奖励制度，将师德表现作为评奖评优的首要条件。在同等条件下，师德表现突出的，在教师职务（职称）晋升和岗位聘用，研究生导师遴选，骨干教师、学科带头人和学科领军人物选培，各类高层次人才及资深教授、荣誉教授等评选中优先考虑。</w:t>
      </w:r>
    </w:p>
    <w:p w:rsidR="00E37845" w:rsidRDefault="00E22BDD">
      <w:pPr>
        <w:autoSpaceDE w:val="0"/>
        <w:autoSpaceDN w:val="0"/>
        <w:adjustRightInd w:val="0"/>
        <w:snapToGrid w:val="0"/>
        <w:spacing w:line="312"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严格师德惩处，发挥制度规范约束作用。建立健全高校教师违反师德行为的惩处机制。高校教师不得有下列情形：损害国家利益，损害学生和学校合法权益的行为；在教育教学活动中有违背党的路线方针政策的言行；在科研工作中弄虚作假、抄袭剽窃、篡改侵吞他人学术成果、违规使用科研经费以及滥用学术资源和学术影响；影响正常教育教学工作的兼职兼薪行为；在招生、考试、学生推优、保研等工作中徇私舞弊；索要或收受学生及家长的礼品、礼金、有价证券、支付凭证等财物；对学生实施性骚扰或与学生发生不正当关系；其他违反高校教师职业道德的行为。有上述情形的，依法依规分别给予警告、记过、降低专业技术职务等级、撤销专业技术职务或者行政职务、解除聘用合同或者开除。对严重违法违纪的要及时移交相关部门。建立问责机制，对教师严重违反师德行为监管不力、拒不处分、拖延处分或推诿隐瞒，造成不良影响或严重后果的，要追究高校主要负责人的责任。</w:t>
      </w:r>
    </w:p>
    <w:p w:rsidR="00E37845" w:rsidRDefault="00E22BDD">
      <w:pPr>
        <w:autoSpaceDE w:val="0"/>
        <w:autoSpaceDN w:val="0"/>
        <w:adjustRightInd w:val="0"/>
        <w:snapToGrid w:val="0"/>
        <w:spacing w:line="312" w:lineRule="auto"/>
        <w:ind w:firstLineChars="200" w:firstLine="482"/>
        <w:jc w:val="left"/>
        <w:rPr>
          <w:rFonts w:ascii="黑体" w:eastAsia="黑体" w:hAnsi="黑体" w:cs="黑体"/>
          <w:b/>
          <w:bCs/>
          <w:color w:val="000000" w:themeColor="text1"/>
          <w:kern w:val="0"/>
          <w:sz w:val="24"/>
          <w:szCs w:val="24"/>
        </w:rPr>
      </w:pPr>
      <w:r>
        <w:rPr>
          <w:rFonts w:ascii="黑体" w:eastAsia="黑体" w:hAnsi="黑体" w:cs="黑体" w:hint="eastAsia"/>
          <w:b/>
          <w:bCs/>
          <w:color w:val="000000" w:themeColor="text1"/>
          <w:kern w:val="0"/>
          <w:sz w:val="24"/>
          <w:szCs w:val="24"/>
        </w:rPr>
        <w:t>四、充分激发高校教师加强师德建设的自觉性</w:t>
      </w:r>
    </w:p>
    <w:p w:rsidR="00E37845" w:rsidRDefault="00E22BDD">
      <w:pPr>
        <w:autoSpaceDE w:val="0"/>
        <w:autoSpaceDN w:val="0"/>
        <w:adjustRightInd w:val="0"/>
        <w:snapToGrid w:val="0"/>
        <w:spacing w:line="312"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广大高校教师要充分认识自己所承担的庄严而神圣的使命，发扬主人翁精神，自觉捍卫职业尊严，珍惜教师声誉，提升师德境界。要将师德修养自觉纳入职业生涯规划，明确师德发展目标。要通过自主学习，自我改进，将师德规范转化为稳定的内在信念和行为品质。要将师德规范积极主动融入教育教学、科学研究和服务社会的实践中，提高师德践行能力。要弘扬重内省、重慎独的优良传统，在细微处见师德，在日常中守师德，养成师德自律习惯。</w:t>
      </w:r>
    </w:p>
    <w:p w:rsidR="00E37845" w:rsidRDefault="00E22BDD">
      <w:pPr>
        <w:autoSpaceDE w:val="0"/>
        <w:autoSpaceDN w:val="0"/>
        <w:adjustRightInd w:val="0"/>
        <w:snapToGrid w:val="0"/>
        <w:spacing w:line="312"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高校要健全教师主体权益保障机制，根据《教育法》《高等教育法》《教师法》等法律法规和高等学校章程，明确并落实教师在高校办学中的主体地位。完善教师参与治校治学机制，在干部选拔任用、专业技术职务评聘、学术评价和各种评优选拔活动中，充分保障教师的知情权、参与权、表达权和监督权。创设公平正义、风清气正的环境条件。充分尊重教师的专业自主权，保障教师依法行使学术权利和学业评定权利。保护教师正当的申辩、申诉权利，依法建立教师权益保护机制，维护教师合法权益。健全教师发展制度，构建完整的职业发展体系，鼓励支持教师参加培训、开展学术交流合作。</w:t>
      </w:r>
    </w:p>
    <w:p w:rsidR="00E37845" w:rsidRDefault="00E22BDD">
      <w:pPr>
        <w:autoSpaceDE w:val="0"/>
        <w:autoSpaceDN w:val="0"/>
        <w:adjustRightInd w:val="0"/>
        <w:snapToGrid w:val="0"/>
        <w:spacing w:line="312" w:lineRule="auto"/>
        <w:ind w:firstLineChars="200" w:firstLine="482"/>
        <w:jc w:val="left"/>
        <w:rPr>
          <w:rFonts w:ascii="黑体" w:eastAsia="黑体" w:hAnsi="黑体" w:cs="黑体"/>
          <w:b/>
          <w:bCs/>
          <w:color w:val="000000" w:themeColor="text1"/>
          <w:kern w:val="0"/>
          <w:sz w:val="24"/>
          <w:szCs w:val="24"/>
        </w:rPr>
      </w:pPr>
      <w:r>
        <w:rPr>
          <w:rFonts w:ascii="黑体" w:eastAsia="黑体" w:hAnsi="黑体" w:cs="黑体" w:hint="eastAsia"/>
          <w:b/>
          <w:bCs/>
          <w:color w:val="000000" w:themeColor="text1"/>
          <w:kern w:val="0"/>
          <w:sz w:val="24"/>
          <w:szCs w:val="24"/>
        </w:rPr>
        <w:t>五、切实明确高校师德建设工作的责任主体</w:t>
      </w:r>
    </w:p>
    <w:p w:rsidR="00E37845" w:rsidRDefault="00E22BDD">
      <w:pPr>
        <w:autoSpaceDE w:val="0"/>
        <w:autoSpaceDN w:val="0"/>
        <w:adjustRightInd w:val="0"/>
        <w:snapToGrid w:val="0"/>
        <w:spacing w:line="312"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高校是师德建设的责任主体，主要负责人是师德建设的第一责任人。高校要明确师德建设的牵头部门，成立组织、宣传、纪检监察、人事、教务、科研、工会、学术委员会等相关责任部门和组织协同配合的师德建设委员会；建立和完善党委统一领导、党政齐抓共管、院系具体落实、教师自我约束的领导体制和工作机制，形成师德建设合力。</w:t>
      </w:r>
      <w:r>
        <w:rPr>
          <w:rFonts w:ascii="仿宋_GB2312" w:eastAsia="仿宋_GB2312" w:hAnsi="仿宋_GB2312" w:cs="仿宋_GB2312" w:hint="eastAsia"/>
          <w:color w:val="000000" w:themeColor="text1"/>
          <w:kern w:val="0"/>
          <w:sz w:val="24"/>
          <w:szCs w:val="24"/>
        </w:rPr>
        <w:lastRenderedPageBreak/>
        <w:t>要建立一岗双责的责任追究机制。要加大师德建设经费投入力度，为师德建设提供坚实保障。</w:t>
      </w:r>
    </w:p>
    <w:p w:rsidR="00E37845" w:rsidRDefault="00E22BDD">
      <w:pPr>
        <w:autoSpaceDE w:val="0"/>
        <w:autoSpaceDN w:val="0"/>
        <w:adjustRightInd w:val="0"/>
        <w:snapToGrid w:val="0"/>
        <w:spacing w:line="312"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高校主管部门要把师德建设摆在教师队伍建设的首位，主要领导亲自负责，并落实具体职能机构和人员。建立和完善师德建设督导评估制度，不断加大督导检查力度。支持高校设立师德建设研修基地，搭建教育交流平台，积极探索师德建设的特点和规律，不断提升师德建设科学化水平。</w:t>
      </w:r>
    </w:p>
    <w:p w:rsidR="00E37845" w:rsidRDefault="00E22BDD">
      <w:pPr>
        <w:autoSpaceDE w:val="0"/>
        <w:autoSpaceDN w:val="0"/>
        <w:adjustRightInd w:val="0"/>
        <w:snapToGrid w:val="0"/>
        <w:spacing w:line="312"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各地各校要根据实际制订具体的实施办法。</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65" w:name="_Toc3346"/>
      <w:bookmarkStart w:id="266" w:name="_Toc13782"/>
      <w:bookmarkStart w:id="267" w:name="_Toc27745"/>
      <w:bookmarkStart w:id="268" w:name="_Toc16290"/>
      <w:bookmarkStart w:id="269" w:name="_Toc15374"/>
      <w:bookmarkStart w:id="270" w:name="_Toc2108"/>
      <w:bookmarkStart w:id="271" w:name="_Toc4990"/>
      <w:bookmarkStart w:id="272" w:name="_Toc28897"/>
      <w:bookmarkStart w:id="273" w:name="_Toc12474"/>
      <w:bookmarkStart w:id="274" w:name="_Toc20484"/>
      <w:bookmarkStart w:id="275" w:name="_Toc12537"/>
      <w:bookmarkStart w:id="276" w:name="_Toc8843"/>
      <w:bookmarkStart w:id="277" w:name="_Toc6921"/>
      <w:bookmarkStart w:id="278" w:name="_Toc17279"/>
      <w:bookmarkStart w:id="279" w:name="_Toc15801"/>
      <w:bookmarkStart w:id="280" w:name="_Toc20098"/>
      <w:bookmarkStart w:id="281" w:name="_Toc17568"/>
      <w:bookmarkStart w:id="282" w:name="_Toc17655"/>
      <w:bookmarkStart w:id="283" w:name="_Toc519780932"/>
      <w:bookmarkStart w:id="284" w:name="_Toc21358"/>
      <w:bookmarkStart w:id="285" w:name="_Toc31693"/>
      <w:bookmarkStart w:id="286" w:name="_Toc13761"/>
      <w:bookmarkStart w:id="287" w:name="_Toc13520"/>
      <w:bookmarkStart w:id="288" w:name="_Toc28826"/>
      <w:bookmarkStart w:id="289" w:name="_Toc10123"/>
      <w:bookmarkStart w:id="290" w:name="_Toc32600"/>
      <w:bookmarkStart w:id="291" w:name="_Toc21837"/>
      <w:bookmarkStart w:id="292" w:name="_Toc21200"/>
      <w:bookmarkStart w:id="293" w:name="_Toc1934"/>
      <w:r>
        <w:rPr>
          <w:rFonts w:ascii="黑体" w:eastAsia="黑体" w:hAnsi="黑体" w:cs="黑体"/>
          <w:color w:val="000000" w:themeColor="text1"/>
          <w:sz w:val="28"/>
          <w:szCs w:val="28"/>
        </w:rPr>
        <w:t>3.3</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Pr>
          <w:rFonts w:ascii="黑体" w:eastAsia="黑体" w:hAnsi="黑体" w:cs="黑体" w:hint="eastAsia"/>
          <w:color w:val="000000" w:themeColor="text1"/>
          <w:sz w:val="28"/>
          <w:szCs w:val="28"/>
        </w:rPr>
        <w:t>广州大学构建师德建设长效机制实施细则（试行）</w:t>
      </w:r>
      <w:bookmarkEnd w:id="288"/>
      <w:bookmarkEnd w:id="289"/>
      <w:bookmarkEnd w:id="290"/>
      <w:bookmarkEnd w:id="291"/>
      <w:bookmarkEnd w:id="292"/>
      <w:bookmarkEnd w:id="293"/>
    </w:p>
    <w:p w:rsidR="00E37845" w:rsidRDefault="00E22BDD">
      <w:pPr>
        <w:pStyle w:val="ad"/>
        <w:adjustRightInd w:val="0"/>
        <w:snapToGrid w:val="0"/>
        <w:spacing w:before="0" w:beforeAutospacing="0" w:after="0" w:afterAutospacing="0" w:line="312" w:lineRule="auto"/>
        <w:ind w:firstLineChars="200" w:firstLine="480"/>
        <w:jc w:val="both"/>
        <w:rPr>
          <w:rFonts w:ascii="仿宋_GB2312" w:eastAsia="仿宋_GB2312" w:hAnsi="仿宋_GB2312" w:cs="仿宋_GB2312"/>
          <w:color w:val="000000" w:themeColor="text1"/>
          <w:kern w:val="2"/>
        </w:rPr>
      </w:pPr>
      <w:r>
        <w:rPr>
          <w:rFonts w:ascii="仿宋_GB2312" w:eastAsia="仿宋_GB2312" w:hAnsi="仿宋_GB2312" w:cs="仿宋_GB2312" w:hint="eastAsia"/>
          <w:color w:val="000000" w:themeColor="text1"/>
        </w:rPr>
        <w:t>学校坚持“教学立校、科研兴校、人才强校、服务荣校”的办学理念，贯彻“全面对接区域经济发展，深度融入广州国家中心城市建设进程”的工作思路。广大教师自觉贯彻党的教育方针，学为人师、行为世范、默默耕耘、无私奉献。为进一步建立健全师德师风长效机制，全面提升教师职业道德水准，根据教育部《关于建立健全高校师德建设长效机制的意见》（教师〔</w:t>
      </w:r>
      <w:r>
        <w:rPr>
          <w:rFonts w:ascii="仿宋_GB2312" w:eastAsia="仿宋_GB2312" w:hAnsi="仿宋_GB2312" w:cs="仿宋_GB2312"/>
          <w:color w:val="000000" w:themeColor="text1"/>
        </w:rPr>
        <w:t xml:space="preserve">2014〕10号）和《高等学校教师职业道德规范》（教人〔2011〕11号）以及《中共广东省委教育工委 广东省教育厅关于建立健全教师师德建设长效机制的实施意见》（粤教工委〔2015〕5号）等文件，结合《广州大学章程》和学校实际，制定本实施细则。 </w:t>
      </w:r>
    </w:p>
    <w:p w:rsidR="00E37845" w:rsidRDefault="00E22BDD">
      <w:pPr>
        <w:adjustRightInd w:val="0"/>
        <w:snapToGrid w:val="0"/>
        <w:spacing w:line="312" w:lineRule="auto"/>
        <w:ind w:firstLineChars="200"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一、指导思想和基本原则</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以邓小平理论、“三个代表”重要思想和科学发展观为指导，深入学习贯彻习近平总书记系列重要讲话精神，以《高等学校教师职业道德规范》为准则，紧紧围绕学校建设“国内一流、世界知名高等学府”的目标，积极引导我校教师做“有理想信念、有道德情操、有扎实学识、有仁爱之心”的党和人民满意的好教师。</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坚持价值引领，以社会主义核心价值观为我校教师崇德修身的基本遵循，促进全校教师带头培育和践行社会主义核心价值观。坚持师德为上，以立德树人为出发点和立足点，增强师德建设的针对性和贴近性，培育教师高尚道德情操。坚持以人为本，关注教师发展诉求和价值愿望，激发教师的责任感使命感。坚持改进创新，不断探索新时期师德建设的规律特点，增强师德建设的实际效果。</w:t>
      </w:r>
    </w:p>
    <w:p w:rsidR="00E37845" w:rsidRDefault="00E22BDD">
      <w:pPr>
        <w:adjustRightInd w:val="0"/>
        <w:snapToGrid w:val="0"/>
        <w:spacing w:line="312" w:lineRule="auto"/>
        <w:ind w:firstLineChars="200"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二、组织机构和工作目标</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学校成立党委统一领导的师德建设委员会，负责学校师德建设的总体规划、政策制定、宣传教育、协调指导、检查评估等工作。学校主要领导担任主任，成员由党办校办、监察处、组织部、宣传部、学生工作部、教务处、科技处、社科处、研究生处、人事处、财务处、离退休工作处、国际交流与合作处、服务经济社会工作处、工会、校团委、马克思主义学院等有关部门主要负责人和教师代表组成。委员会下设办公室，负责学校师德建设日常工作。办公室设在人事处，简称“师德办”。</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lastRenderedPageBreak/>
        <w:t>各学院（中心、所）成立师德建设工作小组，在学校师德建设委员会的领导下和“师德办”的指导下开展本单位师德建设工作。各学院（中心、所）党政主要领导担任工作小组组长，成员由本单位党政联席会议成员和教师代表组成。</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建立和完善党委统一领导、党政齐抓共管、院系具体落实、教师自我约束的领导体制和工作机制，形成师德建设合力。建立和完善师德建设检查评估制度和一岗双责的责任追究机制，加大师德建设经费投入力度，为师德建设提供坚实保障。</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充分尊重教师主体地位，发挥教师师德建设的主动性。引导教师自觉捍卫职业尊严，珍惜教师声誉，提升师德境界。倡导教师通过自主学习，自我改进，“重内省、重慎独”，将师德规范积极主动融入教育教学、科学研究和服务社会的实践中，提高师德践行能力，养成师德自律习惯，做学生敬仰爱戴的品行之师、学问之师。</w:t>
      </w:r>
    </w:p>
    <w:p w:rsidR="00E37845" w:rsidRDefault="00E22BDD">
      <w:pPr>
        <w:adjustRightInd w:val="0"/>
        <w:snapToGrid w:val="0"/>
        <w:spacing w:line="312" w:lineRule="auto"/>
        <w:ind w:firstLineChars="200"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三、工作任务</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（一）强化师德教育，引导教师树立崇高理想。将师德教育摆在教师培养的首位，贯穿教师职业生涯全过程，牢固树立“师德无小事、小处见师德”的意识和观念。</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（二）加强师德宣传，培育重德养德良好风尚。推动师德宣传制度化和常态化，将师德宣传作为全校宣传思想工作的重要组</w:t>
      </w:r>
      <w:r>
        <w:rPr>
          <w:rFonts w:ascii="仿宋_GB2312" w:eastAsia="仿宋_GB2312" w:hAnsi="仿宋_GB2312" w:cs="仿宋_GB2312" w:hint="eastAsia"/>
          <w:color w:val="000000" w:themeColor="text1"/>
          <w:spacing w:val="4"/>
          <w:sz w:val="24"/>
          <w:szCs w:val="24"/>
        </w:rPr>
        <w:t>成部分，努力营造崇尚师德、争先创优的良好舆论环境和校园氛围</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（三）完善师德考核，促进教师提高自身修养。将师德考核作为教师考核的重要内容，充分尊重教师主体地位，坚持客观公正、公平公开原则。</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（四）强化师德监督，有效防止师德失范行为。建立和完善师德建设检查评估制度，及时纠正不良倾向和问题，做到有诉必查、有查必果、有果必复、严重必纠。</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（五）注重师德激励，引导教师提升精神境界。大力推进师德激励制度化，完善师德表彰奖励制度，将师德表现作为评奖评优的首要条件。</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（六）严格师德惩处，发挥制度规范约束作用。建立健全教师违反师德行为的惩处机制，坚决实行“师德一票否决制”和师德建设责任追究制度。</w:t>
      </w:r>
    </w:p>
    <w:p w:rsidR="00E37845" w:rsidRDefault="00E22BDD">
      <w:pPr>
        <w:adjustRightInd w:val="0"/>
        <w:snapToGrid w:val="0"/>
        <w:spacing w:line="312" w:lineRule="auto"/>
        <w:ind w:firstLineChars="200"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四、任务分解</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师德建设是一项关乎学校声誉和人才培养质量的重要工作，各部门和单位应当充分认识师德建设工作的重要性和紧迫性，统筹规划，协调配合，建立健全师德建设长效机制，从根本上预防和杜绝我校师德失范现象的发生，切实提高我校师德建设水平。</w:t>
      </w:r>
    </w:p>
    <w:p w:rsidR="00E37845" w:rsidRDefault="00E22BDD">
      <w:pPr>
        <w:adjustRightInd w:val="0"/>
        <w:snapToGrid w:val="0"/>
        <w:spacing w:line="312" w:lineRule="auto"/>
        <w:ind w:firstLineChars="200" w:firstLine="482"/>
        <w:rPr>
          <w:rFonts w:ascii="黑体" w:eastAsia="黑体" w:hAnsi="黑体" w:cs="黑体"/>
          <w:color w:val="000000" w:themeColor="text1"/>
          <w:sz w:val="24"/>
          <w:szCs w:val="24"/>
        </w:rPr>
      </w:pPr>
      <w:r>
        <w:rPr>
          <w:rFonts w:ascii="黑体" w:eastAsia="黑体" w:hAnsi="黑体" w:cs="黑体" w:hint="eastAsia"/>
          <w:b/>
          <w:bCs/>
          <w:color w:val="000000" w:themeColor="text1"/>
          <w:sz w:val="24"/>
          <w:szCs w:val="24"/>
        </w:rPr>
        <w:t>（一）师德教育导向机制</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w:t>
      </w:r>
      <w:r>
        <w:rPr>
          <w:rFonts w:ascii="仿宋_GB2312" w:eastAsia="仿宋_GB2312" w:hAnsi="仿宋_GB2312" w:cs="仿宋_GB2312" w:hint="eastAsia"/>
          <w:color w:val="000000" w:themeColor="text1"/>
          <w:sz w:val="24"/>
          <w:szCs w:val="24"/>
        </w:rPr>
        <w:t>加强对教师的社会主义核心价值观教育，重视教职工理想信念教育、法制教育和心理健康教育。多种形式开展以“社会主义核心价值观”为主题的师德教育，展示和交流核心价值观教育成果。（牵头部门：宣传部）</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w:t>
      </w:r>
      <w:r>
        <w:rPr>
          <w:rFonts w:ascii="仿宋_GB2312" w:eastAsia="仿宋_GB2312" w:hAnsi="仿宋_GB2312" w:cs="仿宋_GB2312" w:hint="eastAsia"/>
          <w:color w:val="000000" w:themeColor="text1"/>
          <w:sz w:val="24"/>
          <w:szCs w:val="24"/>
        </w:rPr>
        <w:t>发挥党组织在师德建设中的核心作用，充分发挥党员教师在师德建设中的先锋模范作用，带头履行教师职责，严格遵守教师职业道德规范。（牵头部门：组织部）</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lastRenderedPageBreak/>
        <w:t>3.</w:t>
      </w:r>
      <w:r>
        <w:rPr>
          <w:rFonts w:ascii="仿宋_GB2312" w:eastAsia="仿宋_GB2312" w:hAnsi="仿宋_GB2312" w:cs="仿宋_GB2312" w:hint="eastAsia"/>
          <w:color w:val="000000" w:themeColor="text1"/>
          <w:sz w:val="24"/>
          <w:szCs w:val="24"/>
        </w:rPr>
        <w:t>将校史教育与师德建设紧密结合，开展“校史与师德”专题教育。组织教职工参观校史馆，加强对教师“博学笃行，与时俱进”的校训和“</w:t>
      </w:r>
      <w:r>
        <w:rPr>
          <w:rFonts w:ascii="仿宋_GB2312" w:eastAsia="仿宋_GB2312" w:hAnsi="仿宋_GB2312" w:cs="仿宋_GB2312" w:hint="eastAsia"/>
          <w:color w:val="000000" w:themeColor="text1"/>
          <w:kern w:val="0"/>
          <w:sz w:val="24"/>
          <w:szCs w:val="24"/>
        </w:rPr>
        <w:t>教学立校、科研兴校、人才强校、服务荣校</w:t>
      </w:r>
      <w:r>
        <w:rPr>
          <w:rFonts w:ascii="仿宋_GB2312" w:eastAsia="仿宋_GB2312" w:hAnsi="仿宋_GB2312" w:cs="仿宋_GB2312" w:hint="eastAsia"/>
          <w:color w:val="000000" w:themeColor="text1"/>
          <w:sz w:val="24"/>
          <w:szCs w:val="24"/>
        </w:rPr>
        <w:t>”的办学理念教育。组织教职工学习《广州大学章程》和建设“国</w:t>
      </w:r>
      <w:r>
        <w:rPr>
          <w:rFonts w:ascii="仿宋_GB2312" w:eastAsia="仿宋_GB2312" w:hAnsi="仿宋_GB2312" w:cs="仿宋_GB2312" w:hint="eastAsia"/>
          <w:color w:val="000000" w:themeColor="text1"/>
          <w:spacing w:val="4"/>
          <w:sz w:val="24"/>
          <w:szCs w:val="24"/>
        </w:rPr>
        <w:t>内一流、世界知名高等学府”的学校发展战略。（牵头部门：工会</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4.</w:t>
      </w:r>
      <w:r>
        <w:rPr>
          <w:rFonts w:ascii="仿宋_GB2312" w:eastAsia="仿宋_GB2312" w:hAnsi="仿宋_GB2312" w:cs="仿宋_GB2312" w:hint="eastAsia"/>
          <w:color w:val="000000" w:themeColor="text1"/>
          <w:sz w:val="24"/>
          <w:szCs w:val="24"/>
        </w:rPr>
        <w:t>举行新进青年教师入职宣誓仪式、教职工从教“三十周年”纪念仪式、教职工荣休仪式，将师德教育放在学校教师培养的首位，贯穿教师职业生涯全过程，激发全校教师的职业自豪感、荣誉感、使命感。（牵头部门：人事处、离退休工作处，配合部门：财务处、各学院、中心、所）</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5.</w:t>
      </w:r>
      <w:r>
        <w:rPr>
          <w:rFonts w:ascii="仿宋_GB2312" w:eastAsia="仿宋_GB2312" w:hAnsi="仿宋_GB2312" w:cs="仿宋_GB2312" w:hint="eastAsia"/>
          <w:color w:val="000000" w:themeColor="text1"/>
          <w:sz w:val="24"/>
          <w:szCs w:val="24"/>
        </w:rPr>
        <w:t>将师德教育作为新进教职工入职培训、优秀教师团队培</w:t>
      </w:r>
      <w:r>
        <w:rPr>
          <w:rFonts w:ascii="仿宋_GB2312" w:eastAsia="仿宋_GB2312" w:hAnsi="仿宋_GB2312" w:cs="仿宋_GB2312" w:hint="eastAsia"/>
          <w:color w:val="000000" w:themeColor="text1"/>
          <w:spacing w:val="4"/>
          <w:sz w:val="24"/>
          <w:szCs w:val="24"/>
        </w:rPr>
        <w:t>养，骨干教师、学科带头人和学科领军人物培育的重要内容。（牵</w:t>
      </w:r>
      <w:r>
        <w:rPr>
          <w:rFonts w:ascii="仿宋_GB2312" w:eastAsia="仿宋_GB2312" w:hAnsi="仿宋_GB2312" w:cs="仿宋_GB2312" w:hint="eastAsia"/>
          <w:color w:val="000000" w:themeColor="text1"/>
          <w:sz w:val="24"/>
          <w:szCs w:val="24"/>
        </w:rPr>
        <w:t>头部门：人事处、教务处、科技处、社科处）</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6.</w:t>
      </w:r>
      <w:r>
        <w:rPr>
          <w:rFonts w:ascii="仿宋_GB2312" w:eastAsia="仿宋_GB2312" w:hAnsi="仿宋_GB2312" w:cs="仿宋_GB2312" w:hint="eastAsia"/>
          <w:color w:val="000000" w:themeColor="text1"/>
          <w:sz w:val="24"/>
          <w:szCs w:val="24"/>
        </w:rPr>
        <w:t>开展师德传承结对活动，充分发挥老教师对青年教师树立良好师德的传、帮、带作用，做好青年教师职业能力提升和职业道德教育。（牵头部门：教务处、人事处）</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7.</w:t>
      </w:r>
      <w:r>
        <w:rPr>
          <w:rFonts w:ascii="仿宋_GB2312" w:eastAsia="仿宋_GB2312" w:hAnsi="仿宋_GB2312" w:cs="仿宋_GB2312" w:hint="eastAsia"/>
          <w:color w:val="000000" w:themeColor="text1"/>
          <w:sz w:val="24"/>
          <w:szCs w:val="24"/>
        </w:rPr>
        <w:t>建立广州大学师德专家库，把师德典型、教书育人楷模、优秀教师代表请进课堂，用他们的感人事迹诠释师德精神和内涵。（牵头部门：宣传部、教务处）</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8.</w:t>
      </w:r>
      <w:r>
        <w:rPr>
          <w:rFonts w:ascii="仿宋_GB2312" w:eastAsia="仿宋_GB2312" w:hAnsi="仿宋_GB2312" w:cs="仿宋_GB2312" w:hint="eastAsia"/>
          <w:color w:val="000000" w:themeColor="text1"/>
          <w:sz w:val="24"/>
          <w:szCs w:val="24"/>
        </w:rPr>
        <w:t>结合师范教育专业，将师德教育延伸到人才培养之中，建设“专兼结合”的师德教育师资队伍，开发师德教育课程体系和实践活动，实现学校师德教育的双重功能。（牵头部门：教务处、宣传部、马克思主义学院）</w:t>
      </w:r>
    </w:p>
    <w:p w:rsidR="00E37845" w:rsidRDefault="00E22BDD">
      <w:pPr>
        <w:adjustRightInd w:val="0"/>
        <w:snapToGrid w:val="0"/>
        <w:spacing w:line="312" w:lineRule="auto"/>
        <w:ind w:firstLineChars="200" w:firstLine="482"/>
        <w:rPr>
          <w:rFonts w:ascii="黑体" w:eastAsia="黑体" w:hAnsi="黑体" w:cs="黑体"/>
          <w:color w:val="000000" w:themeColor="text1"/>
          <w:sz w:val="24"/>
          <w:szCs w:val="24"/>
        </w:rPr>
      </w:pPr>
      <w:r>
        <w:rPr>
          <w:rFonts w:ascii="黑体" w:eastAsia="黑体" w:hAnsi="黑体" w:cs="黑体" w:hint="eastAsia"/>
          <w:b/>
          <w:bCs/>
          <w:color w:val="000000" w:themeColor="text1"/>
          <w:sz w:val="24"/>
          <w:szCs w:val="24"/>
        </w:rPr>
        <w:t>（二）师德宣传机制</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9.</w:t>
      </w:r>
      <w:r>
        <w:rPr>
          <w:rFonts w:ascii="仿宋_GB2312" w:eastAsia="仿宋_GB2312" w:hAnsi="仿宋_GB2312" w:cs="仿宋_GB2312" w:hint="eastAsia"/>
          <w:color w:val="000000" w:themeColor="text1"/>
          <w:sz w:val="24"/>
          <w:szCs w:val="24"/>
        </w:rPr>
        <w:t>以多种形式系统宣讲《中华人民共和国教育法》、《中华人民共和国高等教育法》、《中华人民共和国教师法》和教育规划纲要等法规文件中有关师德的要求，宣传普及《高等学校教师职业道德规范》，大力营造爱岗敬业、教书育人的浓厚氛围。（牵头部门：宣传部）</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10.</w:t>
      </w:r>
      <w:r>
        <w:rPr>
          <w:rFonts w:ascii="仿宋_GB2312" w:eastAsia="仿宋_GB2312" w:hAnsi="仿宋_GB2312" w:cs="仿宋_GB2312" w:hint="eastAsia"/>
          <w:color w:val="000000" w:themeColor="text1"/>
          <w:sz w:val="24"/>
          <w:szCs w:val="24"/>
        </w:rPr>
        <w:t>开辟“广大名师”专题专栏，展现我校教师的精神风貌。通过校报、学校新闻网、电视、广播、网站、视频及微博、微信、微电影、手机</w:t>
      </w:r>
      <w:r>
        <w:rPr>
          <w:rFonts w:ascii="仿宋_GB2312" w:eastAsia="仿宋_GB2312" w:hAnsi="仿宋_GB2312" w:cs="仿宋_GB2312"/>
          <w:color w:val="000000" w:themeColor="text1"/>
          <w:sz w:val="24"/>
          <w:szCs w:val="24"/>
        </w:rPr>
        <w:t>APP等多种形式和途径，旗帜鲜明地宣传“优秀教师”、“师德标兵”、“师德先进个人”、“最受学生欢迎的老师”，宣传忠诚党的教育事业，呕心沥血、默默奉献，潜心治学、教书育人，敢于担当、锐意创新的师德楷模，坚持用身边人教育身边</w:t>
      </w:r>
      <w:r>
        <w:rPr>
          <w:rFonts w:ascii="仿宋_GB2312" w:eastAsia="仿宋_GB2312" w:hAnsi="仿宋_GB2312" w:cs="仿宋_GB2312" w:hint="eastAsia"/>
          <w:color w:val="000000" w:themeColor="text1"/>
          <w:spacing w:val="4"/>
          <w:sz w:val="24"/>
          <w:szCs w:val="24"/>
        </w:rPr>
        <w:t>人，发挥典型示范作用，弘扬正能量。（牵头部门：宣传部、教</w:t>
      </w:r>
      <w:r>
        <w:rPr>
          <w:rFonts w:ascii="仿宋_GB2312" w:eastAsia="仿宋_GB2312" w:hAnsi="仿宋_GB2312" w:cs="仿宋_GB2312" w:hint="eastAsia"/>
          <w:color w:val="000000" w:themeColor="text1"/>
          <w:sz w:val="24"/>
          <w:szCs w:val="24"/>
        </w:rPr>
        <w:t>务处、人事处）。</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11.</w:t>
      </w:r>
      <w:r>
        <w:rPr>
          <w:rFonts w:ascii="仿宋_GB2312" w:eastAsia="仿宋_GB2312" w:hAnsi="仿宋_GB2312" w:cs="仿宋_GB2312" w:hint="eastAsia"/>
          <w:color w:val="000000" w:themeColor="text1"/>
          <w:sz w:val="24"/>
          <w:szCs w:val="24"/>
        </w:rPr>
        <w:t>以庆祝教师节和表彰优秀教师为契机，每年组织一次“师德主题宣传月”教育活动，通过多种渠道，宣传校内外师德先进典型，大力褒奖优秀教师的高尚师德，用师德先进典型推动我校师德建设工作。（牵头部门：宣传部）</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12.</w:t>
      </w:r>
      <w:r>
        <w:rPr>
          <w:rFonts w:ascii="仿宋_GB2312" w:eastAsia="仿宋_GB2312" w:hAnsi="仿宋_GB2312" w:cs="仿宋_GB2312" w:hint="eastAsia"/>
          <w:color w:val="000000" w:themeColor="text1"/>
          <w:sz w:val="24"/>
          <w:szCs w:val="24"/>
        </w:rPr>
        <w:t>把培育良好师德师风作为我校校园文化建设的核心内容，营造师德建设文化氛围。组织“师德理论宣讲”、“师德专题讲座”、“师德建设征文”、“廉政文化展示”、“典</w:t>
      </w:r>
      <w:r>
        <w:rPr>
          <w:rFonts w:ascii="仿宋_GB2312" w:eastAsia="仿宋_GB2312" w:hAnsi="仿宋_GB2312" w:cs="仿宋_GB2312" w:hint="eastAsia"/>
          <w:color w:val="000000" w:themeColor="text1"/>
          <w:sz w:val="24"/>
          <w:szCs w:val="24"/>
        </w:rPr>
        <w:lastRenderedPageBreak/>
        <w:t>型案例通报”、“党员警示教育”等活动，宣传师德榜样事迹、警示师德失范行为，积极营造崇尚师德风范、争创师德典型的文化氛围。（牵头部门：宣传部）</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13.</w:t>
      </w:r>
      <w:r>
        <w:rPr>
          <w:rFonts w:ascii="仿宋_GB2312" w:eastAsia="仿宋_GB2312" w:hAnsi="仿宋_GB2312" w:cs="仿宋_GB2312" w:hint="eastAsia"/>
          <w:color w:val="000000" w:themeColor="text1"/>
          <w:sz w:val="24"/>
          <w:szCs w:val="24"/>
        </w:rPr>
        <w:t>通过培训会、宣讲会等形式，加强与师德有关的外事纪律宣传。（牵头部门：国际交流与合作处）</w:t>
      </w:r>
    </w:p>
    <w:p w:rsidR="00E37845" w:rsidRDefault="00E22BDD">
      <w:pPr>
        <w:adjustRightInd w:val="0"/>
        <w:snapToGrid w:val="0"/>
        <w:spacing w:line="312" w:lineRule="auto"/>
        <w:ind w:firstLineChars="200" w:firstLine="482"/>
        <w:rPr>
          <w:rFonts w:ascii="黑体" w:eastAsia="黑体" w:hAnsi="黑体" w:cs="黑体"/>
          <w:color w:val="000000" w:themeColor="text1"/>
          <w:sz w:val="24"/>
          <w:szCs w:val="24"/>
        </w:rPr>
      </w:pPr>
      <w:r>
        <w:rPr>
          <w:rFonts w:ascii="黑体" w:eastAsia="黑体" w:hAnsi="黑体" w:cs="黑体" w:hint="eastAsia"/>
          <w:b/>
          <w:bCs/>
          <w:color w:val="000000" w:themeColor="text1"/>
          <w:sz w:val="24"/>
          <w:szCs w:val="24"/>
        </w:rPr>
        <w:t>（三）师德考核机制</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14.</w:t>
      </w:r>
      <w:r>
        <w:rPr>
          <w:rFonts w:ascii="仿宋_GB2312" w:eastAsia="仿宋_GB2312" w:hAnsi="仿宋_GB2312" w:cs="仿宋_GB2312" w:hint="eastAsia"/>
          <w:color w:val="000000" w:themeColor="text1"/>
          <w:sz w:val="24"/>
          <w:szCs w:val="24"/>
        </w:rPr>
        <w:t>加强对教师招聘和引进人才的师德把关，新进教师入职前应做出无犯罪记录和无不良诚信记录的书面承诺。（牵头部门：人事处）</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15.</w:t>
      </w:r>
      <w:r>
        <w:rPr>
          <w:rFonts w:ascii="仿宋_GB2312" w:eastAsia="仿宋_GB2312" w:hAnsi="仿宋_GB2312" w:cs="仿宋_GB2312" w:hint="eastAsia"/>
          <w:color w:val="000000" w:themeColor="text1"/>
          <w:sz w:val="24"/>
          <w:szCs w:val="24"/>
        </w:rPr>
        <w:t>研究制订《广州大学教师师德考核办法》。将师德建设作为教师考核的重要内容，采取教师自评、学生测评、同事互评、单位考评等方式相结合，形成公正、公平、公开、易于操作的师德考核机制。各基层单位要逐步建立和完善师德考评制度，把师德建设列入年度工作计划中，做到师德建设年初有布置，期中有检查，期末有总结。（牵头部门：人事处，配合部门：各学院、各有关部门）</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16.</w:t>
      </w:r>
      <w:r>
        <w:rPr>
          <w:rFonts w:ascii="仿宋_GB2312" w:eastAsia="仿宋_GB2312" w:hAnsi="仿宋_GB2312" w:cs="仿宋_GB2312" w:hint="eastAsia"/>
          <w:color w:val="000000" w:themeColor="text1"/>
          <w:sz w:val="24"/>
          <w:szCs w:val="24"/>
        </w:rPr>
        <w:t>继续完善广州大学师德档案制度。把师德建设纳入师资队伍建设规划中，将师德考核结果存入师德档案，并作为教师职务评审、教师年度考核、岗位聘任、学习进修和评优选先的重要依据。（牵头部门：人事处）</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17.</w:t>
      </w:r>
      <w:r>
        <w:rPr>
          <w:rFonts w:ascii="仿宋_GB2312" w:eastAsia="仿宋_GB2312" w:hAnsi="仿宋_GB2312" w:cs="仿宋_GB2312" w:hint="eastAsia"/>
          <w:color w:val="000000" w:themeColor="text1"/>
          <w:sz w:val="24"/>
          <w:szCs w:val="24"/>
        </w:rPr>
        <w:t>将基层单位开展师德教育、宣传、制度建设等情况纳入学校对基层单位的年度考核，该年度教师有严重的师德失范行为的，所在单位不能评为“优秀”。（牵头部门：组织部、人事处）</w:t>
      </w:r>
    </w:p>
    <w:p w:rsidR="00E37845" w:rsidRDefault="00E22BDD">
      <w:pPr>
        <w:adjustRightInd w:val="0"/>
        <w:snapToGrid w:val="0"/>
        <w:spacing w:line="312" w:lineRule="auto"/>
        <w:ind w:firstLineChars="200"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（四）师德监督机制</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18.</w:t>
      </w:r>
      <w:r>
        <w:rPr>
          <w:rFonts w:ascii="仿宋_GB2312" w:eastAsia="仿宋_GB2312" w:hAnsi="仿宋_GB2312" w:cs="仿宋_GB2312" w:hint="eastAsia"/>
          <w:color w:val="000000" w:themeColor="text1"/>
          <w:sz w:val="24"/>
          <w:szCs w:val="24"/>
        </w:rPr>
        <w:t>开展经常性的教师师德建设调研活动，不断地推出师德先进个人和先进集体，采访师德事迹，作为学校师德建设和师德</w:t>
      </w:r>
      <w:r>
        <w:rPr>
          <w:rFonts w:ascii="仿宋_GB2312" w:eastAsia="仿宋_GB2312" w:hAnsi="仿宋_GB2312" w:cs="仿宋_GB2312" w:hint="eastAsia"/>
          <w:color w:val="000000" w:themeColor="text1"/>
          <w:spacing w:val="4"/>
          <w:sz w:val="24"/>
          <w:szCs w:val="24"/>
        </w:rPr>
        <w:t>宣传的重要依据。（牵头部门：宣传部，配合部门：各学院、中</w:t>
      </w:r>
      <w:r>
        <w:rPr>
          <w:rFonts w:ascii="仿宋_GB2312" w:eastAsia="仿宋_GB2312" w:hAnsi="仿宋_GB2312" w:cs="仿宋_GB2312" w:hint="eastAsia"/>
          <w:color w:val="000000" w:themeColor="text1"/>
          <w:sz w:val="24"/>
          <w:szCs w:val="24"/>
        </w:rPr>
        <w:t>心、所）</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19.</w:t>
      </w:r>
      <w:r>
        <w:rPr>
          <w:rFonts w:ascii="仿宋_GB2312" w:eastAsia="仿宋_GB2312" w:hAnsi="仿宋_GB2312" w:cs="仿宋_GB2312" w:hint="eastAsia"/>
          <w:color w:val="000000" w:themeColor="text1"/>
          <w:sz w:val="24"/>
          <w:szCs w:val="24"/>
        </w:rPr>
        <w:t>建立健全师德重大问题报告和师德舆情快速反应制度，应对师德层面突发问题，及时研究加强和改进师德建设的政策措施。（牵头部门：宣传部）</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20.</w:t>
      </w:r>
      <w:r>
        <w:rPr>
          <w:rFonts w:ascii="仿宋_GB2312" w:eastAsia="仿宋_GB2312" w:hAnsi="仿宋_GB2312" w:cs="仿宋_GB2312" w:hint="eastAsia"/>
          <w:color w:val="000000" w:themeColor="text1"/>
          <w:sz w:val="24"/>
          <w:szCs w:val="24"/>
        </w:rPr>
        <w:t>在学校主页设立师德投诉举报电子邮箱，公布投诉举报电话，在行政西楼一楼大厅设立师德投诉举报信箱。投诉人须提供准确的联系方式。鼓励实名投诉举报，投诉人有责任协助调查核实工作，投诉人信息将予以保密。构建学校、教师、学生、家长和社会多方面共同参与的师德监督体系。及时掌握师德信息动态，及时纠正不良倾向和问题。（牵头部门：监察处、人事处、宣传部、教务处）</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21.</w:t>
      </w:r>
      <w:r>
        <w:rPr>
          <w:rFonts w:ascii="仿宋_GB2312" w:eastAsia="仿宋_GB2312" w:hAnsi="仿宋_GB2312" w:cs="仿宋_GB2312" w:hint="eastAsia"/>
          <w:color w:val="000000" w:themeColor="text1"/>
          <w:sz w:val="24"/>
          <w:szCs w:val="24"/>
        </w:rPr>
        <w:t>健全学生评教机制，进一步完善学生网上评教系统。发挥学生的主动性，加强对教师教学态度、教学规章、师生关系等师德问题的监督。（牵头部门：教务处、研究生处）</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22.</w:t>
      </w:r>
      <w:r>
        <w:rPr>
          <w:rFonts w:ascii="仿宋_GB2312" w:eastAsia="仿宋_GB2312" w:hAnsi="仿宋_GB2312" w:cs="仿宋_GB2312" w:hint="eastAsia"/>
          <w:color w:val="000000" w:themeColor="text1"/>
          <w:sz w:val="24"/>
          <w:szCs w:val="24"/>
        </w:rPr>
        <w:t>充分发挥教职工代表大会、工会、学术委员会等在师德建设中的作用，建立以上各组织与师德办公室的沟通机制，多角度多维度地进行师德监督。（牵头部门：人事</w:t>
      </w:r>
      <w:r>
        <w:rPr>
          <w:rFonts w:ascii="仿宋_GB2312" w:eastAsia="仿宋_GB2312" w:hAnsi="仿宋_GB2312" w:cs="仿宋_GB2312" w:hint="eastAsia"/>
          <w:color w:val="000000" w:themeColor="text1"/>
          <w:sz w:val="24"/>
          <w:szCs w:val="24"/>
        </w:rPr>
        <w:lastRenderedPageBreak/>
        <w:t>处、工会、科技处、社科处）</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23.</w:t>
      </w:r>
      <w:r>
        <w:rPr>
          <w:rFonts w:ascii="仿宋_GB2312" w:eastAsia="仿宋_GB2312" w:hAnsi="仿宋_GB2312" w:cs="仿宋_GB2312" w:hint="eastAsia"/>
          <w:color w:val="000000" w:themeColor="text1"/>
          <w:sz w:val="24"/>
          <w:szCs w:val="24"/>
        </w:rPr>
        <w:t>制订《广州大学外籍教师行为规范》，加强对外籍教师的师德监督和教育工作。（牵头部门：国际交流与合作处）</w:t>
      </w:r>
    </w:p>
    <w:p w:rsidR="00E37845" w:rsidRDefault="00E22BDD">
      <w:pPr>
        <w:adjustRightInd w:val="0"/>
        <w:snapToGrid w:val="0"/>
        <w:spacing w:line="312" w:lineRule="auto"/>
        <w:ind w:firstLineChars="200"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 xml:space="preserve">（五）师德激励机制 </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24.</w:t>
      </w:r>
      <w:r>
        <w:rPr>
          <w:rFonts w:ascii="仿宋_GB2312" w:eastAsia="仿宋_GB2312" w:hAnsi="仿宋_GB2312" w:cs="仿宋_GB2312" w:hint="eastAsia"/>
          <w:color w:val="000000" w:themeColor="text1"/>
          <w:sz w:val="24"/>
          <w:szCs w:val="24"/>
        </w:rPr>
        <w:t>进一步完善“师德标兵”、优秀共产党员、教学名师等</w:t>
      </w:r>
      <w:r>
        <w:rPr>
          <w:rFonts w:ascii="仿宋_GB2312" w:eastAsia="仿宋_GB2312" w:hAnsi="仿宋_GB2312" w:cs="仿宋_GB2312" w:hint="eastAsia"/>
          <w:color w:val="000000" w:themeColor="text1"/>
          <w:spacing w:val="4"/>
          <w:sz w:val="24"/>
          <w:szCs w:val="24"/>
        </w:rPr>
        <w:t>表彰奖励活动，将师德表现作为评优评奖的首要条件。（牵头部</w:t>
      </w:r>
      <w:r>
        <w:rPr>
          <w:rFonts w:ascii="仿宋_GB2312" w:eastAsia="仿宋_GB2312" w:hAnsi="仿宋_GB2312" w:cs="仿宋_GB2312" w:hint="eastAsia"/>
          <w:color w:val="000000" w:themeColor="text1"/>
          <w:sz w:val="24"/>
          <w:szCs w:val="24"/>
        </w:rPr>
        <w:t>门：宣传部、组织部、人事处、教务处、工会）</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25.</w:t>
      </w:r>
      <w:r>
        <w:rPr>
          <w:rFonts w:ascii="仿宋_GB2312" w:eastAsia="仿宋_GB2312" w:hAnsi="仿宋_GB2312" w:cs="仿宋_GB2312" w:hint="eastAsia"/>
          <w:color w:val="000000" w:themeColor="text1"/>
          <w:sz w:val="24"/>
          <w:szCs w:val="24"/>
        </w:rPr>
        <w:t>切实举办好“最受学生欢迎的老师”、“优秀导师”、“优秀班主任”、“辅导员年度人物”、“辅导员职业技能竞赛”、“优质课程”、“精品课程”等评师评教活动，将师德建设作为校园文化活动的核心内容来抓，构建和谐的师生关系。（牵头部门：校团委、学生工作部、研究生处、教务处）</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26.</w:t>
      </w:r>
      <w:r>
        <w:rPr>
          <w:rFonts w:ascii="仿宋_GB2312" w:eastAsia="仿宋_GB2312" w:hAnsi="仿宋_GB2312" w:cs="仿宋_GB2312" w:hint="eastAsia"/>
          <w:color w:val="000000" w:themeColor="text1"/>
          <w:sz w:val="24"/>
          <w:szCs w:val="24"/>
        </w:rPr>
        <w:t>改革师德激励体制，在同等条件下，师德表现突出的，在教师职务晋升和岗位聘用，研究生导师遴选，骨干教师、学科带头人、学科领军人物选培，各类高层次人才及特聘教授等评选</w:t>
      </w:r>
      <w:r>
        <w:rPr>
          <w:rFonts w:ascii="仿宋_GB2312" w:eastAsia="仿宋_GB2312" w:hAnsi="仿宋_GB2312" w:cs="仿宋_GB2312" w:hint="eastAsia"/>
          <w:color w:val="000000" w:themeColor="text1"/>
          <w:spacing w:val="4"/>
          <w:sz w:val="24"/>
          <w:szCs w:val="24"/>
        </w:rPr>
        <w:t>中予以优先考虑。（牵头部门：组织部、人事处、研究生处、科</w:t>
      </w:r>
      <w:r>
        <w:rPr>
          <w:rFonts w:ascii="仿宋_GB2312" w:eastAsia="仿宋_GB2312" w:hAnsi="仿宋_GB2312" w:cs="仿宋_GB2312" w:hint="eastAsia"/>
          <w:color w:val="000000" w:themeColor="text1"/>
          <w:sz w:val="24"/>
          <w:szCs w:val="24"/>
        </w:rPr>
        <w:t>技处、社科处）</w:t>
      </w:r>
    </w:p>
    <w:p w:rsidR="00E37845" w:rsidRDefault="00E22BDD">
      <w:pPr>
        <w:adjustRightInd w:val="0"/>
        <w:snapToGrid w:val="0"/>
        <w:spacing w:line="312" w:lineRule="auto"/>
        <w:ind w:firstLineChars="200"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 xml:space="preserve">（六）师德约束机制 </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27.</w:t>
      </w:r>
      <w:r>
        <w:rPr>
          <w:rFonts w:ascii="仿宋_GB2312" w:eastAsia="仿宋_GB2312" w:hAnsi="仿宋_GB2312" w:cs="仿宋_GB2312" w:hint="eastAsia"/>
          <w:color w:val="000000" w:themeColor="text1"/>
          <w:sz w:val="24"/>
          <w:szCs w:val="24"/>
        </w:rPr>
        <w:t>完善师德约束机制，把教师师德状况和参加师德学习教育的情况作为教师考核评价、职务晋升、岗位聘用、评优评奖、</w:t>
      </w:r>
      <w:r>
        <w:rPr>
          <w:rFonts w:ascii="仿宋_GB2312" w:eastAsia="仿宋_GB2312" w:hAnsi="仿宋_GB2312" w:cs="仿宋_GB2312" w:hint="eastAsia"/>
          <w:color w:val="000000" w:themeColor="text1"/>
          <w:spacing w:val="4"/>
          <w:sz w:val="24"/>
          <w:szCs w:val="24"/>
        </w:rPr>
        <w:t>骨干选培等的必要条件，实行师德表现“一票否决制”。（牵头部</w:t>
      </w:r>
      <w:r>
        <w:rPr>
          <w:rFonts w:ascii="仿宋_GB2312" w:eastAsia="仿宋_GB2312" w:hAnsi="仿宋_GB2312" w:cs="仿宋_GB2312" w:hint="eastAsia"/>
          <w:color w:val="000000" w:themeColor="text1"/>
          <w:sz w:val="24"/>
          <w:szCs w:val="24"/>
        </w:rPr>
        <w:t>门：组织部、人事处）</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28.</w:t>
      </w:r>
      <w:r>
        <w:rPr>
          <w:rFonts w:ascii="仿宋_GB2312" w:eastAsia="仿宋_GB2312" w:hAnsi="仿宋_GB2312" w:cs="仿宋_GB2312" w:hint="eastAsia"/>
          <w:color w:val="000000" w:themeColor="text1"/>
          <w:sz w:val="24"/>
          <w:szCs w:val="24"/>
        </w:rPr>
        <w:t>继续实施和完善学校有关学术规范及违规处理、教学事故认定及处理、研究生指导教师选聘与管理、教学改革教学质量提升、学术道德、青年教师教学水平提升、科研经费管理、服务经济社会等方面的办法，严格执行相关规定，不断规范教育教学过程和教师学术行为，加强职业精神教育，严查学术不端行为，使教师树立高尚的职业情操和正确的学术道德观。（牵头部门：人事处、教务处、研究生处、科技处、社科处、服务经济社会工作处、财务处）</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29.</w:t>
      </w:r>
      <w:r>
        <w:rPr>
          <w:rFonts w:ascii="仿宋_GB2312" w:eastAsia="仿宋_GB2312" w:hAnsi="仿宋_GB2312" w:cs="仿宋_GB2312" w:hint="eastAsia"/>
          <w:color w:val="000000" w:themeColor="text1"/>
          <w:sz w:val="24"/>
          <w:szCs w:val="24"/>
        </w:rPr>
        <w:t>建立健全教师师德失范行为的惩处机制。严格依据《中华人民共和国教育法》、《中华人民共和国高等教育法》、《中华人民共和国教师法》等法律法规，对教师有下列情形之一的，严加处罚：</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1）损害国家利益，损害学生和学校合法权益的行为；</w:t>
      </w:r>
    </w:p>
    <w:p w:rsidR="00E37845" w:rsidRDefault="00E22BDD">
      <w:pPr>
        <w:adjustRightInd w:val="0"/>
        <w:snapToGrid w:val="0"/>
        <w:spacing w:line="312" w:lineRule="auto"/>
        <w:ind w:firstLineChars="200" w:firstLine="464"/>
        <w:rPr>
          <w:rFonts w:ascii="仿宋_GB2312" w:eastAsia="仿宋_GB2312" w:hAnsi="仿宋_GB2312" w:cs="仿宋_GB2312"/>
          <w:color w:val="000000" w:themeColor="text1"/>
          <w:spacing w:val="-4"/>
          <w:sz w:val="24"/>
          <w:szCs w:val="24"/>
        </w:rPr>
      </w:pPr>
      <w:r>
        <w:rPr>
          <w:rFonts w:ascii="仿宋_GB2312" w:eastAsia="仿宋_GB2312" w:hAnsi="仿宋_GB2312" w:cs="仿宋_GB2312" w:hint="eastAsia"/>
          <w:color w:val="000000" w:themeColor="text1"/>
          <w:spacing w:val="-4"/>
          <w:sz w:val="24"/>
          <w:szCs w:val="24"/>
        </w:rPr>
        <w:t>（</w:t>
      </w:r>
      <w:r>
        <w:rPr>
          <w:rFonts w:ascii="仿宋_GB2312" w:eastAsia="仿宋_GB2312" w:hAnsi="仿宋_GB2312" w:cs="仿宋_GB2312"/>
          <w:color w:val="000000" w:themeColor="text1"/>
          <w:spacing w:val="-4"/>
          <w:sz w:val="24"/>
          <w:szCs w:val="24"/>
        </w:rPr>
        <w:t>2）在教育教学活动中发表违背党的路线方针政策的言行；</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3）非法传教，煽动暴力、反动情绪的行为；</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4）利用互联网等造谣、诽谤或发表、传播有害信息；</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5）影响正常教育教学工作的兼职兼薪的行为；</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6）未履行申请、批准手续，擅自调课、停课、请人代课的行为；</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lastRenderedPageBreak/>
        <w:t>（</w:t>
      </w:r>
      <w:r>
        <w:rPr>
          <w:rFonts w:ascii="仿宋_GB2312" w:eastAsia="仿宋_GB2312" w:hAnsi="仿宋_GB2312" w:cs="仿宋_GB2312"/>
          <w:color w:val="000000" w:themeColor="text1"/>
          <w:sz w:val="24"/>
          <w:szCs w:val="24"/>
        </w:rPr>
        <w:t>7）在科研工作中弄虚作假、抄袭剽窃、篡改侵吞他人学</w:t>
      </w:r>
      <w:r>
        <w:rPr>
          <w:rFonts w:ascii="仿宋_GB2312" w:eastAsia="仿宋_GB2312" w:hAnsi="仿宋_GB2312" w:cs="仿宋_GB2312" w:hint="eastAsia"/>
          <w:color w:val="000000" w:themeColor="text1"/>
          <w:spacing w:val="-4"/>
          <w:sz w:val="24"/>
          <w:szCs w:val="24"/>
        </w:rPr>
        <w:t>术成果、违规使用科研经费以及滥用学术资源和学术影响的行为</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8）所指导的研究生出现严重学术道德问题；</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9）在招生、考试、学生评奖评优、推免研究生等工作中徇私舞弊；</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10）索要或收受学生及家长礼品、礼金、有价证券、支付凭证等财物的行为；</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11）对学生实施性骚扰或与学生发生不正当关系；</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12）对学生歧视；</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13）在项目申报、评先评奖评优、职务评聘等过程中弄虚作假的行为；</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14）失职渎职、挥霍浪费学校资产的行为；</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15）违背公序良俗或公共道德有严重失范，造成恶劣社会影响的行为；</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16）其他违反《中华人民共和国教师法》等法律法规和高校教师职业道德的行为。</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根据违反师德情节严重程度，依纪依规分别给予通报批评、警告、记过、降低岗位等级、解聘专业技术职务或者行政职务、开除等处罚。对有严重违法行为的移送司法机关处理。（牵头部门：监察处、组织部、人事处）</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30.</w:t>
      </w:r>
      <w:r>
        <w:rPr>
          <w:rFonts w:ascii="仿宋_GB2312" w:eastAsia="仿宋_GB2312" w:hAnsi="仿宋_GB2312" w:cs="仿宋_GB2312" w:hint="eastAsia"/>
          <w:color w:val="000000" w:themeColor="text1"/>
          <w:sz w:val="24"/>
          <w:szCs w:val="24"/>
        </w:rPr>
        <w:t>建立一岗双责的责任追究机制。对教师严重违反师德行为监管不力、拒不上报、拖延处分或推诿隐瞒，造成不良影响或严重后果的，追究所在单位主要负责人的责任。（牵头部门：监察处、组织部、人事处）</w:t>
      </w:r>
    </w:p>
    <w:p w:rsidR="00E37845" w:rsidRDefault="00E22BDD">
      <w:pPr>
        <w:adjustRightInd w:val="0"/>
        <w:snapToGrid w:val="0"/>
        <w:spacing w:line="312" w:lineRule="auto"/>
        <w:ind w:firstLineChars="200"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（七）师德保障机制</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31.</w:t>
      </w:r>
      <w:r>
        <w:rPr>
          <w:rFonts w:ascii="仿宋_GB2312" w:eastAsia="仿宋_GB2312" w:hAnsi="仿宋_GB2312" w:cs="仿宋_GB2312" w:hint="eastAsia"/>
          <w:color w:val="000000" w:themeColor="text1"/>
          <w:sz w:val="24"/>
          <w:szCs w:val="24"/>
        </w:rPr>
        <w:t>各学院（中心、所）和有关职能部门要根据本细则和学校相关要求，将师德建设工作纳入单位整体工作布局中，定期开展专项工作检查，督促落实师德建设各项工作。学校将师德建设工作成效作为对各学院（中心、所）和有关职能部门工作绩效考核的重要内容，并作为对各相关部门领导班子及成员考核评价的重要依据。（牵头部门：各学院、中心、所）</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sz w:val="24"/>
          <w:szCs w:val="24"/>
        </w:rPr>
        <w:t>32.</w:t>
      </w:r>
      <w:r>
        <w:rPr>
          <w:rFonts w:ascii="仿宋_GB2312" w:eastAsia="仿宋_GB2312" w:hAnsi="仿宋_GB2312" w:cs="仿宋_GB2312" w:hint="eastAsia"/>
          <w:color w:val="000000" w:themeColor="text1"/>
          <w:sz w:val="24"/>
          <w:szCs w:val="24"/>
        </w:rPr>
        <w:t>依法建立和健全教职员工权利保障机制，维护教职员工的合法权益，保障教师正常的教育教学工作，加大经费投入力度，</w:t>
      </w:r>
      <w:r>
        <w:rPr>
          <w:rFonts w:ascii="仿宋_GB2312" w:eastAsia="仿宋_GB2312" w:hAnsi="仿宋_GB2312" w:cs="仿宋_GB2312" w:hint="eastAsia"/>
          <w:color w:val="000000" w:themeColor="text1"/>
          <w:spacing w:val="4"/>
          <w:sz w:val="24"/>
          <w:szCs w:val="24"/>
        </w:rPr>
        <w:t>逐步改善教育教学办公环境。（牵头部门：教务处、研究生处、人事处、财</w:t>
      </w:r>
      <w:r>
        <w:rPr>
          <w:rFonts w:ascii="仿宋_GB2312" w:eastAsia="仿宋_GB2312" w:hAnsi="仿宋_GB2312" w:cs="仿宋_GB2312" w:hint="eastAsia"/>
          <w:color w:val="000000" w:themeColor="text1"/>
          <w:sz w:val="24"/>
          <w:szCs w:val="24"/>
        </w:rPr>
        <w:t>务处）</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33.</w:t>
      </w:r>
      <w:r>
        <w:rPr>
          <w:rFonts w:ascii="仿宋_GB2312" w:eastAsia="仿宋_GB2312" w:hAnsi="仿宋_GB2312" w:cs="仿宋_GB2312" w:hint="eastAsia"/>
          <w:color w:val="000000" w:themeColor="text1"/>
          <w:sz w:val="24"/>
          <w:szCs w:val="24"/>
        </w:rPr>
        <w:t>制订师德建设专项经费预算，划拨专项经费，用于每年师德建设。加大师德建设经费投入力度，将师德建设经费纳入学院和各有关部门运行经费中，确保师德教育、宣传、考核、监督、奖惩等工作顺利开展。（牵头部门：财务处、人事处、宣传部、各有关部门、各学院）</w:t>
      </w:r>
    </w:p>
    <w:p w:rsidR="00E37845" w:rsidRDefault="00E22BDD">
      <w:pPr>
        <w:adjustRightInd w:val="0"/>
        <w:snapToGrid w:val="0"/>
        <w:spacing w:line="312" w:lineRule="auto"/>
        <w:ind w:firstLineChars="200"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五、附则</w:t>
      </w:r>
    </w:p>
    <w:p w:rsidR="00E37845" w:rsidRDefault="00E22BDD">
      <w:pPr>
        <w:adjustRightInd w:val="0"/>
        <w:snapToGrid w:val="0"/>
        <w:spacing w:line="312"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本实施细则适用于广州大学全体教职员工，以及以广州大学名义（中外文署名）发表作品的其他人员，包括在校工作的兼职教师、访问学者、进修教师及其他兼职人员。</w:t>
      </w:r>
    </w:p>
    <w:p w:rsidR="00E37845" w:rsidRDefault="00E22BDD">
      <w:pPr>
        <w:autoSpaceDE w:val="0"/>
        <w:autoSpaceDN w:val="0"/>
        <w:adjustRightInd w:val="0"/>
        <w:snapToGrid w:val="0"/>
        <w:spacing w:line="312"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sz w:val="24"/>
          <w:szCs w:val="24"/>
        </w:rPr>
        <w:t>本实施细则由广州大学师德建设委员会负责解释，自发布之日起施行。</w:t>
      </w:r>
    </w:p>
    <w:p w:rsidR="00E37845" w:rsidRDefault="00E22BDD">
      <w:pPr>
        <w:widowControl/>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lastRenderedPageBreak/>
        <w:br w:type="page"/>
      </w:r>
    </w:p>
    <w:p w:rsidR="00E37845" w:rsidRDefault="00E22BDD">
      <w:pPr>
        <w:pStyle w:val="1"/>
        <w:adjustRightInd w:val="0"/>
        <w:snapToGrid w:val="0"/>
        <w:spacing w:beforeLines="100" w:before="312" w:afterLines="100" w:after="312" w:line="360" w:lineRule="auto"/>
        <w:rPr>
          <w:rFonts w:ascii="微软雅黑" w:eastAsia="微软雅黑" w:hAnsi="微软雅黑" w:cs="微软雅黑"/>
        </w:rPr>
      </w:pPr>
      <w:bookmarkStart w:id="294" w:name="_Toc1332"/>
      <w:bookmarkStart w:id="295" w:name="_Toc28558"/>
      <w:bookmarkStart w:id="296" w:name="_Toc9029"/>
      <w:bookmarkStart w:id="297" w:name="_Toc31673"/>
      <w:bookmarkStart w:id="298" w:name="_Toc19560"/>
      <w:bookmarkStart w:id="299" w:name="_Toc22365"/>
      <w:bookmarkStart w:id="300" w:name="_Toc21217"/>
      <w:bookmarkStart w:id="301" w:name="_Toc11515"/>
      <w:bookmarkStart w:id="302" w:name="_Toc10879"/>
      <w:bookmarkStart w:id="303" w:name="_Toc16681"/>
      <w:bookmarkStart w:id="304" w:name="_Toc23614"/>
      <w:bookmarkStart w:id="305" w:name="_Toc32072"/>
      <w:bookmarkStart w:id="306" w:name="_Toc17711"/>
      <w:bookmarkStart w:id="307" w:name="_Toc19105"/>
      <w:bookmarkStart w:id="308" w:name="_Toc20379"/>
      <w:bookmarkStart w:id="309" w:name="_Toc13597"/>
      <w:bookmarkStart w:id="310" w:name="_Toc519780933"/>
      <w:bookmarkStart w:id="311" w:name="_Toc2820"/>
      <w:bookmarkStart w:id="312" w:name="_Toc31629"/>
      <w:bookmarkStart w:id="313" w:name="_Toc9297"/>
      <w:bookmarkStart w:id="314" w:name="_Toc20691"/>
      <w:bookmarkStart w:id="315" w:name="_Toc17836"/>
      <w:bookmarkStart w:id="316" w:name="_Toc21812"/>
      <w:bookmarkStart w:id="317" w:name="_Toc21485"/>
      <w:bookmarkStart w:id="318" w:name="_Toc12994"/>
      <w:bookmarkStart w:id="319" w:name="_Toc31081"/>
      <w:bookmarkStart w:id="320" w:name="_Toc32136"/>
      <w:bookmarkStart w:id="321" w:name="_Toc3969"/>
      <w:bookmarkStart w:id="322" w:name="_Toc683"/>
      <w:r>
        <w:rPr>
          <w:rFonts w:ascii="微软雅黑" w:eastAsia="微软雅黑" w:hAnsi="微软雅黑" w:cs="微软雅黑" w:hint="eastAsia"/>
        </w:rPr>
        <w:lastRenderedPageBreak/>
        <w:t>4.人事工作</w:t>
      </w:r>
      <w:bookmarkStart w:id="323" w:name="_Toc11012"/>
      <w:bookmarkStart w:id="324" w:name="_Toc11920"/>
      <w:bookmarkStart w:id="325" w:name="_Toc15895"/>
      <w:bookmarkStart w:id="326" w:name="_Toc2764"/>
      <w:bookmarkStart w:id="327" w:name="_Toc24837"/>
      <w:bookmarkStart w:id="328" w:name="_Toc7597"/>
      <w:bookmarkStart w:id="329" w:name="_Toc6244"/>
      <w:bookmarkStart w:id="330" w:name="_Toc24084"/>
      <w:bookmarkStart w:id="331" w:name="_Toc19052"/>
      <w:bookmarkStart w:id="332" w:name="_Toc31133"/>
      <w:bookmarkStart w:id="333" w:name="_Toc18042"/>
      <w:bookmarkStart w:id="334" w:name="_Toc519780934"/>
      <w:bookmarkStart w:id="335" w:name="_Toc23993"/>
      <w:bookmarkStart w:id="336" w:name="_Toc24083"/>
      <w:bookmarkStart w:id="337" w:name="_Toc18085"/>
      <w:bookmarkStart w:id="338" w:name="_Toc30245"/>
      <w:bookmarkStart w:id="339" w:name="_Toc22452"/>
      <w:bookmarkStart w:id="340" w:name="_Toc18801"/>
      <w:bookmarkStart w:id="341" w:name="_Toc6043"/>
      <w:bookmarkStart w:id="342" w:name="_Toc29602"/>
      <w:bookmarkStart w:id="343" w:name="_Toc28005"/>
      <w:bookmarkStart w:id="344" w:name="_Toc10561"/>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345" w:name="_Toc20020"/>
      <w:bookmarkStart w:id="346" w:name="_Toc27588"/>
      <w:bookmarkStart w:id="347" w:name="_Toc1624"/>
      <w:bookmarkStart w:id="348" w:name="_Toc846"/>
      <w:bookmarkStart w:id="349" w:name="_Toc28122"/>
      <w:bookmarkStart w:id="350" w:name="_Toc4844"/>
      <w:bookmarkStart w:id="351" w:name="_Toc32251"/>
      <w:r>
        <w:rPr>
          <w:rFonts w:ascii="黑体" w:eastAsia="黑体" w:hAnsi="黑体" w:cs="黑体"/>
          <w:color w:val="000000" w:themeColor="text1"/>
          <w:sz w:val="28"/>
          <w:szCs w:val="28"/>
        </w:rPr>
        <w:t>4.1人才引进</w:t>
      </w:r>
      <w:bookmarkEnd w:id="345"/>
      <w:bookmarkEnd w:id="346"/>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352" w:name="_Toc11176"/>
      <w:bookmarkStart w:id="353" w:name="_Toc2136"/>
      <w:r>
        <w:rPr>
          <w:rFonts w:ascii="黑体" w:eastAsia="黑体" w:hAnsi="黑体" w:cs="黑体"/>
          <w:color w:val="000000" w:themeColor="text1"/>
          <w:sz w:val="28"/>
          <w:szCs w:val="28"/>
        </w:rPr>
        <w:t>4.1.1人才引进政策</w:t>
      </w:r>
      <w:bookmarkEnd w:id="352"/>
      <w:bookmarkEnd w:id="353"/>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354" w:name="_Toc20836"/>
      <w:bookmarkStart w:id="355" w:name="_Toc13677"/>
      <w:r>
        <w:rPr>
          <w:rFonts w:ascii="黑体" w:eastAsia="黑体" w:hAnsi="黑体" w:cs="黑体"/>
          <w:color w:val="000000" w:themeColor="text1"/>
          <w:sz w:val="28"/>
          <w:szCs w:val="28"/>
        </w:rPr>
        <w:t xml:space="preserve">4.1.1.1 </w:t>
      </w:r>
      <w:r>
        <w:rPr>
          <w:rFonts w:ascii="黑体" w:eastAsia="黑体" w:hAnsi="黑体" w:cs="黑体" w:hint="eastAsia"/>
          <w:color w:val="000000" w:themeColor="text1"/>
          <w:sz w:val="28"/>
          <w:szCs w:val="28"/>
        </w:rPr>
        <w:t>广州大学“百人计划”人才引进管理办法（</w:t>
      </w:r>
      <w:r>
        <w:rPr>
          <w:rFonts w:ascii="黑体" w:eastAsia="黑体" w:hAnsi="黑体" w:cs="黑体"/>
          <w:color w:val="000000" w:themeColor="text1"/>
          <w:sz w:val="28"/>
          <w:szCs w:val="28"/>
        </w:rPr>
        <w:t>详见广大〔201</w:t>
      </w:r>
      <w:r>
        <w:rPr>
          <w:rFonts w:ascii="黑体" w:eastAsia="黑体" w:hAnsi="黑体" w:cs="黑体" w:hint="eastAsia"/>
          <w:color w:val="000000" w:themeColor="text1"/>
          <w:sz w:val="28"/>
          <w:szCs w:val="28"/>
        </w:rPr>
        <w:t>8</w:t>
      </w:r>
      <w:r>
        <w:rPr>
          <w:rFonts w:ascii="黑体" w:eastAsia="黑体" w:hAnsi="黑体" w:cs="黑体"/>
          <w:color w:val="000000" w:themeColor="text1"/>
          <w:sz w:val="28"/>
          <w:szCs w:val="28"/>
        </w:rPr>
        <w:t>〕</w:t>
      </w:r>
      <w:r>
        <w:rPr>
          <w:rFonts w:ascii="黑体" w:eastAsia="黑体" w:hAnsi="黑体" w:cs="黑体" w:hint="eastAsia"/>
          <w:color w:val="000000" w:themeColor="text1"/>
          <w:sz w:val="28"/>
          <w:szCs w:val="28"/>
        </w:rPr>
        <w:t>170号）</w:t>
      </w:r>
      <w:bookmarkEnd w:id="354"/>
      <w:bookmarkEnd w:id="355"/>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为贯彻落实中央以及省、市关于深化人才发展体制机制改革精神，适应“人才强校”战略需要，制定本办法旨在加快高水平大学和师资队伍建设步伐，为学校跨越式发展提供人才支撑、智力支持和技术服务。</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百人计划”引进人才分为领军人才、学科带头人、学术带头人、青年杰出人（A类、B类），引进人才应遵守国家法律法规以及学校规章制度，恪守高等学校教师职业道德规范，学风端正，有敬业精神、团队协作精神和国际合作与交流能力，热爱高等学校教学科研工作，履行岗位职责，完成考核工作目标。师德审核不合格者实行一票否决。</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二、学校为“百人计划”入选者提供教授或副教授岗位，符合条件的认定为博士生导师或硕士生导师资格，优先安排博士生、硕士生招生名额，提供博士后和专职科研人员配额指标。</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三、对领军人才、学科带头人和青年杰出人才（</w:t>
      </w:r>
      <w:r>
        <w:rPr>
          <w:rFonts w:ascii="仿宋_GB2312" w:eastAsia="仿宋_GB2312" w:hAnsi="仿宋_GB2312" w:cs="仿宋_GB2312"/>
          <w:color w:val="000000" w:themeColor="text1"/>
          <w:sz w:val="24"/>
          <w:szCs w:val="24"/>
        </w:rPr>
        <w:t>A类）可以团队方式引进，团队成员须达到学校“百人计划”</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讲师</w:t>
      </w:r>
      <w:r>
        <w:rPr>
          <w:rFonts w:ascii="仿宋_GB2312" w:eastAsia="仿宋_GB2312" w:hAnsi="仿宋_GB2312" w:cs="仿宋_GB2312" w:hint="eastAsia"/>
          <w:color w:val="000000" w:themeColor="text1"/>
          <w:sz w:val="24"/>
          <w:szCs w:val="24"/>
        </w:rPr>
        <w:t>或全职特聘人才</w:t>
      </w:r>
      <w:r>
        <w:rPr>
          <w:rFonts w:ascii="仿宋_GB2312" w:eastAsia="仿宋_GB2312" w:hAnsi="仿宋_GB2312" w:cs="仿宋_GB2312"/>
          <w:color w:val="000000" w:themeColor="text1"/>
          <w:sz w:val="24"/>
          <w:szCs w:val="24"/>
        </w:rPr>
        <w:t>聘用条件。</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学校为“百人计划”入选者提供科研启动经费、教学和科研平台。科研启动费原则上按照五年平均预算下拨，有特殊要求再向科研处申请调整。启动经费和平台建设经费按照相关财务管理规定进行预算和使用，并加强经费管理和绩效考核。院系优先安排所需要的办公场所、设备、实验场地和设施。</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五、学校为“百人计划”入选者提供合同约定的薪酬、社会保险等福利。公积金参照编内相同职务人员标准缴交，社保按国家省市规定执行。年薪包括基本工资、绩效工资、国家省市政策性津补贴、住房公积金和两房补贴等，不再享受学校其它津、补贴。提供购房补贴和为期三年的周转房或申请广州市公租房。购房补贴的发放，“百人计划”领军人才按人事档案到校后或全职到岗工作后原则上一年内一次性发放；“百人计划”学科带头人、学术带头人、青年杰出人才（A类）和青年杰出人才（B类）原则上按人事档案到校后或全职到岗工作后三年内分三次发放。服务期未满而要求调离的，或者依</w:t>
      </w:r>
      <w:r>
        <w:rPr>
          <w:rFonts w:ascii="仿宋_GB2312" w:eastAsia="仿宋_GB2312" w:hAnsi="仿宋_GB2312" w:cs="仿宋_GB2312" w:hint="eastAsia"/>
          <w:color w:val="000000" w:themeColor="text1"/>
          <w:sz w:val="24"/>
          <w:szCs w:val="24"/>
        </w:rPr>
        <w:lastRenderedPageBreak/>
        <w:t>据本管理办法第三十条规定被终止合同关系的，或者依据合同约定考核不合格被终止关系的，受聘者应退还购房补贴：已领购房补贴×（聘期年限-已服务年限）/聘期年限，应退还学校缴纳税款：应退购房补贴金额×45%。</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六、</w:t>
      </w:r>
      <w:r>
        <w:rPr>
          <w:rFonts w:ascii="仿宋_GB2312" w:eastAsia="仿宋_GB2312" w:hAnsi="仿宋_GB2312" w:cs="仿宋_GB2312"/>
          <w:color w:val="000000" w:themeColor="text1"/>
          <w:sz w:val="24"/>
          <w:szCs w:val="24"/>
        </w:rPr>
        <w:t>聘期考核时，对完成聘期目标且在聘期目标任务之外业绩成果特别突出的人才实施奖励政策：（1）获省部级以上科学技术奖项；（2）获省部级以上重点、重大项目立项；（3）有重大影响力的科研论文；（4）科研转化效果显著。相关标准参照学校突出科研成果奖励办法。</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七、“百人计划”引进人才在聘期内获得院士、长江学者特聘教授、国家杰出青年科学基金获得者、“千人计划”青年项目、国家优秀青年科学基金获得者、青年长江学者特聘教授等人才称号，可根据本办法调整薪酬、购房补贴等待遇。</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八、受聘者对其入职时所报审的个人材料及相关信息之真实性、合法性、完整性负全部责任。如果发现受聘者在应聘阶段和聘期内所提供的学历、学位、职称、职务、个人业绩、学习工作经历、计划生育、学术道德、师德师风、遵纪守法等信息存有虚假、伪造或变造，学校有权选择随时予以辞退，解除聘用关系，并追究责任。受聘者在聘用期间出现严重违纪违法违规（含校规）行为、严重教学事故、严重违反学术道德以及违反师德规定造成不良影响者，学校有权无条件单方面终止聘用合同和聘用关系，由此造成的损失和责任由受聘者负责。</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九、</w:t>
      </w:r>
      <w:r>
        <w:rPr>
          <w:rFonts w:ascii="仿宋_GB2312" w:eastAsia="仿宋_GB2312" w:hAnsi="仿宋_GB2312" w:cs="仿宋_GB2312"/>
          <w:color w:val="000000" w:themeColor="text1"/>
          <w:sz w:val="24"/>
          <w:szCs w:val="24"/>
        </w:rPr>
        <w:t>60周岁以上或者外籍人才医疗保险可参考学校同等级别的教师享受公费医疗报销标准（门诊报80%，住院报90%额度），学校给予报销医疗费用。</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356" w:name="_Toc12186"/>
      <w:bookmarkStart w:id="357" w:name="_Toc26773"/>
      <w:r>
        <w:rPr>
          <w:rFonts w:ascii="黑体" w:eastAsia="黑体" w:hAnsi="黑体" w:cs="黑体"/>
          <w:color w:val="000000" w:themeColor="text1"/>
          <w:sz w:val="28"/>
          <w:szCs w:val="28"/>
        </w:rPr>
        <w:t>4.1.1.</w:t>
      </w:r>
      <w:r>
        <w:rPr>
          <w:rFonts w:ascii="黑体" w:eastAsia="黑体" w:hAnsi="黑体" w:cs="黑体" w:hint="eastAsia"/>
          <w:color w:val="000000" w:themeColor="text1"/>
          <w:sz w:val="28"/>
          <w:szCs w:val="28"/>
        </w:rPr>
        <w:t>2</w:t>
      </w:r>
      <w:r>
        <w:rPr>
          <w:rFonts w:ascii="黑体" w:eastAsia="黑体" w:hAnsi="黑体" w:cs="黑体"/>
          <w:color w:val="000000" w:themeColor="text1"/>
          <w:sz w:val="28"/>
          <w:szCs w:val="28"/>
        </w:rPr>
        <w:t xml:space="preserve"> </w:t>
      </w:r>
      <w:r>
        <w:rPr>
          <w:rFonts w:ascii="黑体" w:eastAsia="黑体" w:hAnsi="黑体" w:cs="黑体" w:hint="eastAsia"/>
          <w:color w:val="000000" w:themeColor="text1"/>
          <w:sz w:val="28"/>
          <w:szCs w:val="28"/>
        </w:rPr>
        <w:t>广州大学新进讲师管理办法（</w:t>
      </w:r>
      <w:r>
        <w:rPr>
          <w:rFonts w:ascii="黑体" w:eastAsia="黑体" w:hAnsi="黑体" w:cs="黑体"/>
          <w:color w:val="000000" w:themeColor="text1"/>
          <w:sz w:val="28"/>
          <w:szCs w:val="28"/>
        </w:rPr>
        <w:t>详见广大〔201</w:t>
      </w:r>
      <w:r>
        <w:rPr>
          <w:rFonts w:ascii="黑体" w:eastAsia="黑体" w:hAnsi="黑体" w:cs="黑体" w:hint="eastAsia"/>
          <w:color w:val="000000" w:themeColor="text1"/>
          <w:sz w:val="28"/>
          <w:szCs w:val="28"/>
        </w:rPr>
        <w:t>8</w:t>
      </w:r>
      <w:r>
        <w:rPr>
          <w:rFonts w:ascii="黑体" w:eastAsia="黑体" w:hAnsi="黑体" w:cs="黑体"/>
          <w:color w:val="000000" w:themeColor="text1"/>
          <w:sz w:val="28"/>
          <w:szCs w:val="28"/>
        </w:rPr>
        <w:t>〕</w:t>
      </w:r>
      <w:r>
        <w:rPr>
          <w:rFonts w:ascii="黑体" w:eastAsia="黑体" w:hAnsi="黑体" w:cs="黑体" w:hint="eastAsia"/>
          <w:color w:val="000000" w:themeColor="text1"/>
          <w:sz w:val="28"/>
          <w:szCs w:val="28"/>
        </w:rPr>
        <w:t>171号）</w:t>
      </w:r>
      <w:bookmarkEnd w:id="356"/>
      <w:bookmarkEnd w:id="357"/>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为适应高水平大学建设，扎实推进“人才强校”战略，建设一支充满活力的教师队伍，学校将大力引进一批年纪轻、学历高、有发展潜力的优秀博士、博士后，充实教学科研队伍。按照公开招聘、择优录用、合同管理、动态调整的原则，以“非升即走”新机制引进博士、博士后。</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新进讲师工资由基本工资和特别津贴构成。根据不同学科的差异和应聘人员学术水平（潜能）的差异实行不同工资标准。基本工资标准为每年16万元，按月发放。特别津贴分三等：一等特别津贴为每年16万元，二等特别津贴为每年12万元，三等特别津贴为每年8万元，按月发放。</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公积金参照编内相同职务人员标准缴交，社保按国家省市规定执行。受聘者年薪包括基本工资、绩效工资、国家省市政策性津补贴、住房公积金和两房补贴等，不再享受学校其它津、补贴，学校可视财政投入情况调整基本工资标准。</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lastRenderedPageBreak/>
        <w:t>二、学校提供三年期限的周转房，或申请广州市公租房，受聘者按规定缴纳租金。</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三、学校为受聘者提供购房补贴20万元（税前），原则上按聘期（3年）平均逐月发放。</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提供科研启动费：理工科20万元，人文社科8万元。科研启动费原则上按照三年平均预算下拨，有特殊要求再向科研处申请调整。启动经费和平台建设经费按照相关财务管理规定进行预算和使用，并加强经费管理和绩效考核。</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五、受聘者聘为讲师职务，分为两个聘期，每个聘期三年。首个聘期期满，学校根据聘用合同规定，对每位讲师进行聘期考核，根据考核结果确定是否续签聘用合同。两个聘期期满未能达到合同约定条件并未能受聘高一级职务者，学校不再与其续签聘用合同。</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六、聘期内，新进讲师获得省部级以上人才项目，可根据学校有关规定调整薪酬、津贴等待遇。</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七、聘期内，受聘者须按照学校规定的基本教学工作量完成教学任务。</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八、受聘者对其入职时所报审的个人材料及相关信息之真实性、合法性、完整性负全部责任。如果发现受聘者在应聘阶段和聘期内所提供的学历、学位、职称、职务、个人业绩、学习工作经历、计划生育、学术道德、师德师风、遵纪守法等信息存有虚假、伪造或变造，学校有权选择随时予以辞退，解除聘用关系，并追究责任。受聘者在聘用期间出现严重违纪违法违规（含校规）行为、严重教学事故、严重违反学术道德以及违反师德规定造成不良影响者，学校有权无条件单方面终止聘用合同和聘用关系，由此造成的损失和责任由受聘者负责。</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九、聘期考核时，对完成聘期目标且在聘期目标任务之外业绩成果特别突出的人才实施奖励政策：1.获省部级以上科学技术奖项；2.获省部级以上重点、重大项目立项；3.有重大影响力的科研论文；4.科研转化效果显著。相关标准参照学校突出科研成果奖励办法。</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358" w:name="_Toc17008"/>
      <w:bookmarkStart w:id="359" w:name="_Toc18852"/>
      <w:r>
        <w:rPr>
          <w:rFonts w:ascii="黑体" w:eastAsia="黑体" w:hAnsi="黑体" w:cs="黑体"/>
          <w:color w:val="000000" w:themeColor="text1"/>
          <w:sz w:val="28"/>
          <w:szCs w:val="28"/>
        </w:rPr>
        <w:t>4.1.1.</w:t>
      </w:r>
      <w:r>
        <w:rPr>
          <w:rFonts w:ascii="黑体" w:eastAsia="黑体" w:hAnsi="黑体" w:cs="黑体" w:hint="eastAsia"/>
          <w:color w:val="000000" w:themeColor="text1"/>
          <w:sz w:val="28"/>
          <w:szCs w:val="28"/>
        </w:rPr>
        <w:t>3</w:t>
      </w:r>
      <w:r>
        <w:rPr>
          <w:rFonts w:ascii="黑体" w:eastAsia="黑体" w:hAnsi="黑体" w:cs="黑体"/>
          <w:color w:val="000000" w:themeColor="text1"/>
          <w:sz w:val="28"/>
          <w:szCs w:val="28"/>
        </w:rPr>
        <w:t>广州大学全职特聘人才管理办法（</w:t>
      </w:r>
      <w:r>
        <w:rPr>
          <w:rFonts w:ascii="黑体" w:eastAsia="黑体" w:hAnsi="黑体" w:cs="黑体" w:hint="eastAsia"/>
          <w:color w:val="000000" w:themeColor="text1"/>
          <w:sz w:val="28"/>
          <w:szCs w:val="28"/>
        </w:rPr>
        <w:t>详见广大</w:t>
      </w:r>
      <w:r>
        <w:rPr>
          <w:rFonts w:ascii="黑体" w:eastAsia="黑体" w:hAnsi="黑体" w:cs="黑体"/>
          <w:color w:val="000000" w:themeColor="text1"/>
          <w:sz w:val="28"/>
          <w:szCs w:val="28"/>
        </w:rPr>
        <w:t>〔201</w:t>
      </w:r>
      <w:r>
        <w:rPr>
          <w:rFonts w:ascii="黑体" w:eastAsia="黑体" w:hAnsi="黑体" w:cs="黑体" w:hint="eastAsia"/>
          <w:color w:val="000000" w:themeColor="text1"/>
          <w:sz w:val="28"/>
          <w:szCs w:val="28"/>
        </w:rPr>
        <w:t>8</w:t>
      </w:r>
      <w:r>
        <w:rPr>
          <w:rFonts w:ascii="黑体" w:eastAsia="黑体" w:hAnsi="黑体" w:cs="黑体"/>
          <w:color w:val="000000" w:themeColor="text1"/>
          <w:sz w:val="28"/>
          <w:szCs w:val="28"/>
        </w:rPr>
        <w:t>〕</w:t>
      </w:r>
      <w:r>
        <w:rPr>
          <w:rFonts w:ascii="黑体" w:eastAsia="黑体" w:hAnsi="黑体" w:cs="黑体" w:hint="eastAsia"/>
          <w:color w:val="000000" w:themeColor="text1"/>
          <w:sz w:val="28"/>
          <w:szCs w:val="28"/>
        </w:rPr>
        <w:t>95号</w:t>
      </w:r>
      <w:r>
        <w:rPr>
          <w:rFonts w:ascii="黑体" w:eastAsia="黑体" w:hAnsi="黑体" w:cs="黑体"/>
          <w:color w:val="000000" w:themeColor="text1"/>
          <w:sz w:val="28"/>
          <w:szCs w:val="28"/>
        </w:rPr>
        <w:t>）</w:t>
      </w:r>
      <w:bookmarkEnd w:id="358"/>
      <w:bookmarkEnd w:id="359"/>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为贯彻落实中央以及省、市关于深化人才发展体制机制改革精神，转变人才发展观念，创新人才引进机制，增强教师队伍的活力和竞争力，进一步促进学校的高水平大学建设，特制定本办法。</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本管理办法是学校依据《中华人民共和国劳动合同法》对签订固定期限聘用合同的人员，聘用一至两个聘期后，经</w:t>
      </w:r>
      <w:r>
        <w:rPr>
          <w:rFonts w:ascii="仿宋_GB2312" w:eastAsia="仿宋_GB2312" w:hAnsi="仿宋_GB2312" w:cs="仿宋_GB2312" w:hint="eastAsia"/>
          <w:color w:val="000000" w:themeColor="text1"/>
          <w:sz w:val="24"/>
          <w:szCs w:val="24"/>
        </w:rPr>
        <w:t>过考核和筛选，获得长聘资格的人才选拔和聘用管理的激励制度。</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lastRenderedPageBreak/>
        <w:t>二、</w:t>
      </w:r>
      <w:r>
        <w:rPr>
          <w:rFonts w:ascii="仿宋_GB2312" w:eastAsia="仿宋_GB2312" w:hAnsi="仿宋_GB2312" w:cs="仿宋_GB2312"/>
          <w:color w:val="000000" w:themeColor="text1"/>
          <w:sz w:val="24"/>
          <w:szCs w:val="24"/>
        </w:rPr>
        <w:t>本办法旨在为学校紧缺的教学岗位、学校重点建设学科和大科研平台建设提供持续、动态的人才资源，适用于2018年6月1日后依据本管理办法引进的全职特聘人才。</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全职特聘岗位分设教学科研岗、工程技术岗岗位，所聘岗位不等同专业技术职称。教学科研岗位：教学岗位人员根据条件聘为特聘讲师或特聘副教授，科研岗位人员根据条件聘为特聘助理研究员或特聘副研究员。工程技术岗指在科研机构设立的工程技术人员工作岗位，根据条件聘为特聘助理工程师、特聘工程师或特聘高级工程师。</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四、教学科研岗人员原则上应承担相应教学、科研、校内公共事务；工程技术岗人员应承担相应科研、校内公共事务。</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五、</w:t>
      </w:r>
      <w:r>
        <w:rPr>
          <w:rFonts w:ascii="仿宋_GB2312" w:eastAsia="仿宋_GB2312" w:hAnsi="仿宋_GB2312" w:cs="仿宋_GB2312"/>
          <w:color w:val="000000" w:themeColor="text1"/>
          <w:sz w:val="24"/>
          <w:szCs w:val="24"/>
        </w:rPr>
        <w:t>学校与拟聘用人才签订《广州大学全职特聘人才聘用合同》。</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六、特聘岗位为固定期限聘用岗位，每个聘期为三年，该岗位最多只能签订</w:t>
      </w:r>
      <w:r>
        <w:rPr>
          <w:rFonts w:ascii="仿宋_GB2312" w:eastAsia="仿宋_GB2312" w:hAnsi="仿宋_GB2312" w:cs="仿宋_GB2312"/>
          <w:color w:val="000000" w:themeColor="text1"/>
          <w:sz w:val="24"/>
          <w:szCs w:val="24"/>
        </w:rPr>
        <w:t>2次合同。</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首个聘期内不对合同约定内容进行修改、调整，受聘者须完整履行三年聘期合同。首个聘期结束时，聘期考核合格但职称未晋升，依据首个聘期合同续签；聘期考核合格且职称晋升的，依据新晋升职称另行商定合同续签；聘期考核合格且取得重大教学科研成果或入选国家级、省部级人才项目的，符合学校现行人才政策，可经过公开招聘程序进入事业单位编制，另行商定聘用合同；聘期考核不合格，解除聘用关系。</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第二个聘期内原则上不对合同约定内容进行修改、调整，但在第二聘期内年度考核优秀且晋升职称的，符合学校现行人才政策，可经过公开招聘程序进入事业单位编制，另行商定聘用合同。</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第二聘期结束时，聘期考核合格且晋升职称的，学校与其签订长聘合同；同时若符合学校现行人才政策，可经过公开招聘程序进入事业单位编制，另行商定聘用合同；第二聘期内聘期考核不合格或者聘期考核合格但职称未晋升的，若学校无岗位设置，学校与其解除聘用关系。</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在长聘期间内，若年度考核优秀且符合学校现行人才政策，可经过公开招聘程序进入事业单位编制，另行商定聘用合同。</w:t>
      </w:r>
    </w:p>
    <w:p w:rsidR="00E37845" w:rsidRDefault="00E22BDD">
      <w:pPr>
        <w:autoSpaceDE w:val="0"/>
        <w:autoSpaceDN w:val="0"/>
        <w:adjustRightInd w:val="0"/>
        <w:snapToGrid w:val="0"/>
        <w:spacing w:line="336" w:lineRule="auto"/>
        <w:ind w:firstLineChars="200" w:firstLine="480"/>
        <w:jc w:val="left"/>
        <w:rPr>
          <w:color w:val="000000" w:themeColor="text1"/>
          <w:kern w:val="44"/>
          <w:sz w:val="28"/>
          <w:szCs w:val="44"/>
        </w:rPr>
      </w:pPr>
      <w:r>
        <w:rPr>
          <w:rFonts w:ascii="仿宋_GB2312" w:eastAsia="仿宋_GB2312" w:hAnsi="仿宋_GB2312" w:cs="仿宋_GB2312" w:hint="eastAsia"/>
          <w:color w:val="000000" w:themeColor="text1"/>
          <w:sz w:val="24"/>
          <w:szCs w:val="24"/>
        </w:rPr>
        <w:t>七、聘期内，教学科研岗位受聘者须按照学校规定保质保量完成本科教学任务。</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7"/>
      <w:bookmarkEnd w:id="348"/>
      <w:bookmarkEnd w:id="349"/>
      <w:bookmarkEnd w:id="350"/>
      <w:bookmarkEnd w:id="351"/>
      <w:r>
        <w:rPr>
          <w:color w:val="000000" w:themeColor="text1"/>
          <w:kern w:val="44"/>
          <w:sz w:val="28"/>
          <w:szCs w:val="44"/>
        </w:rPr>
        <w:br w:type="page"/>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360" w:name="_Toc9149"/>
      <w:bookmarkStart w:id="361" w:name="_Toc15529"/>
      <w:bookmarkStart w:id="362" w:name="_Toc13569"/>
      <w:bookmarkStart w:id="363" w:name="_Toc1555"/>
      <w:bookmarkStart w:id="364" w:name="_Toc26717"/>
      <w:bookmarkStart w:id="365" w:name="_Toc10071"/>
      <w:bookmarkStart w:id="366" w:name="_Toc30447"/>
      <w:bookmarkStart w:id="367" w:name="_Toc2748"/>
      <w:bookmarkStart w:id="368" w:name="_Toc5463"/>
      <w:bookmarkStart w:id="369" w:name="_Toc16061"/>
      <w:bookmarkStart w:id="370" w:name="_Toc19359"/>
      <w:bookmarkStart w:id="371" w:name="_Toc20129"/>
      <w:bookmarkStart w:id="372" w:name="_Toc23274"/>
      <w:bookmarkStart w:id="373" w:name="_Toc519780938"/>
      <w:bookmarkStart w:id="374" w:name="_Toc24364"/>
      <w:bookmarkStart w:id="375" w:name="_Toc624"/>
      <w:bookmarkStart w:id="376" w:name="_Toc11263"/>
      <w:bookmarkStart w:id="377" w:name="_Toc5448"/>
      <w:bookmarkStart w:id="378" w:name="_Toc23507"/>
      <w:bookmarkStart w:id="379" w:name="_Toc25115"/>
      <w:bookmarkStart w:id="380" w:name="_Toc10975"/>
      <w:bookmarkStart w:id="381" w:name="_Toc27392"/>
      <w:bookmarkStart w:id="382" w:name="_Toc10137"/>
      <w:bookmarkStart w:id="383" w:name="_Toc12344"/>
      <w:bookmarkStart w:id="384" w:name="_Toc7379"/>
      <w:bookmarkStart w:id="385" w:name="_Toc16250"/>
      <w:r>
        <w:rPr>
          <w:rFonts w:ascii="黑体" w:eastAsia="黑体" w:hAnsi="黑体" w:cs="黑体"/>
          <w:color w:val="000000" w:themeColor="text1"/>
          <w:sz w:val="28"/>
          <w:szCs w:val="28"/>
        </w:rPr>
        <w:lastRenderedPageBreak/>
        <w:t>4.1.2</w:t>
      </w:r>
      <w:r>
        <w:rPr>
          <w:rFonts w:ascii="黑体" w:eastAsia="黑体" w:hAnsi="黑体" w:cs="黑体" w:hint="eastAsia"/>
          <w:color w:val="000000" w:themeColor="text1"/>
          <w:sz w:val="28"/>
          <w:szCs w:val="28"/>
        </w:rPr>
        <w:t>引进人才</w:t>
      </w:r>
      <w:r>
        <w:rPr>
          <w:rFonts w:ascii="黑体" w:eastAsia="黑体" w:hAnsi="黑体" w:cs="黑体"/>
          <w:color w:val="000000" w:themeColor="text1"/>
          <w:sz w:val="28"/>
          <w:szCs w:val="28"/>
        </w:rPr>
        <w:t>流程图</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E37845" w:rsidRDefault="00E37845">
      <w:pPr>
        <w:widowControl/>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p>
    <w:p w:rsidR="00E37845" w:rsidRDefault="00E22BDD">
      <w:pPr>
        <w:widowControl/>
        <w:adjustRightInd w:val="0"/>
        <w:snapToGrid w:val="0"/>
        <w:spacing w:line="360" w:lineRule="auto"/>
        <w:ind w:firstLineChars="200" w:firstLine="420"/>
        <w:jc w:val="left"/>
        <w:rPr>
          <w:rFonts w:ascii="仿宋_GB2312" w:eastAsia="仿宋_GB2312" w:hAnsi="仿宋_GB2312" w:cs="仿宋_GB2312"/>
          <w:color w:val="000000" w:themeColor="text1"/>
          <w:kern w:val="0"/>
          <w:sz w:val="24"/>
          <w:szCs w:val="24"/>
        </w:rPr>
      </w:pPr>
      <w:r>
        <w:rPr>
          <w:noProof/>
        </w:rPr>
        <w:drawing>
          <wp:inline distT="0" distB="0" distL="114300" distR="114300">
            <wp:extent cx="5715000" cy="7858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referRelativeResize="0">
                      <a:picLocks noChangeAspect="1"/>
                    </pic:cNvPicPr>
                  </pic:nvPicPr>
                  <pic:blipFill>
                    <a:blip r:embed="rId11"/>
                    <a:stretch>
                      <a:fillRect/>
                    </a:stretch>
                  </pic:blipFill>
                  <pic:spPr>
                    <a:xfrm>
                      <a:off x="0" y="0"/>
                      <a:ext cx="5715000" cy="7858125"/>
                    </a:xfrm>
                    <a:prstGeom prst="rect">
                      <a:avLst/>
                    </a:prstGeom>
                    <a:noFill/>
                    <a:ln w="9525">
                      <a:noFill/>
                    </a:ln>
                  </pic:spPr>
                </pic:pic>
              </a:graphicData>
            </a:graphic>
          </wp:inline>
        </w:drawing>
      </w:r>
    </w:p>
    <w:p w:rsidR="00E37845" w:rsidRDefault="00E22BDD">
      <w:pPr>
        <w:widowControl/>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lastRenderedPageBreak/>
        <w:br w:type="page"/>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386" w:name="_Toc7936"/>
      <w:bookmarkStart w:id="387" w:name="_Toc22747"/>
      <w:bookmarkStart w:id="388" w:name="_Toc29677"/>
      <w:bookmarkStart w:id="389" w:name="_Toc16903"/>
      <w:bookmarkStart w:id="390" w:name="_Toc23575"/>
      <w:bookmarkStart w:id="391" w:name="_Toc16838"/>
      <w:bookmarkStart w:id="392" w:name="_Toc26070"/>
      <w:bookmarkStart w:id="393" w:name="_Toc29782"/>
      <w:bookmarkStart w:id="394" w:name="_Toc30490"/>
      <w:bookmarkStart w:id="395" w:name="_Toc22896"/>
      <w:bookmarkStart w:id="396" w:name="_Toc776"/>
      <w:bookmarkStart w:id="397" w:name="_Toc28074"/>
      <w:bookmarkStart w:id="398" w:name="_Toc32038"/>
      <w:bookmarkStart w:id="399" w:name="_Toc16570"/>
      <w:bookmarkStart w:id="400" w:name="_Toc32647"/>
      <w:bookmarkStart w:id="401" w:name="_Toc543"/>
      <w:bookmarkStart w:id="402" w:name="_Toc9829"/>
      <w:bookmarkStart w:id="403" w:name="_Toc23794"/>
      <w:bookmarkStart w:id="404" w:name="_Toc23191"/>
      <w:bookmarkStart w:id="405" w:name="_Toc3592"/>
      <w:bookmarkStart w:id="406" w:name="_Toc30487"/>
      <w:bookmarkStart w:id="407" w:name="_Toc29632"/>
      <w:bookmarkStart w:id="408" w:name="_Toc25699"/>
      <w:bookmarkStart w:id="409" w:name="_Toc23077"/>
      <w:bookmarkStart w:id="410" w:name="_Toc25354"/>
      <w:bookmarkStart w:id="411" w:name="_Toc519780939"/>
      <w:bookmarkStart w:id="412" w:name="_Toc18995"/>
      <w:bookmarkStart w:id="413" w:name="_Toc8247"/>
      <w:bookmarkStart w:id="414" w:name="_Toc24959"/>
      <w:r>
        <w:rPr>
          <w:rFonts w:ascii="黑体" w:eastAsia="黑体" w:hAnsi="黑体" w:cs="黑体"/>
          <w:color w:val="000000" w:themeColor="text1"/>
          <w:sz w:val="28"/>
          <w:szCs w:val="28"/>
        </w:rPr>
        <w:lastRenderedPageBreak/>
        <w:t>4.1.3引进人才签约前办事指引</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rsidR="00E37845" w:rsidRDefault="00E22BDD">
      <w:pPr>
        <w:autoSpaceDE w:val="0"/>
        <w:autoSpaceDN w:val="0"/>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一、准备考察表</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请在广州大学人事处网页上的“资料下载”—“人事人才”处下载《广州大学公开招聘人员考察表》或《广州大学引进高层次人才考察表》，由相关部门填好审核意见后，提交给学院（科研机构）人事秘书审核，经学院（科研机构）上报人事处人才工作科（下称“人才科”）复核备案。</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备注：已获得正高职称或已获得境内博士后的新进人员请填写《广州大学引进高层次人才考察表》，其他人员请填写《广州大学公开招聘人员考察表》。</w:t>
      </w:r>
    </w:p>
    <w:p w:rsidR="00E37845" w:rsidRDefault="00E22BDD">
      <w:pPr>
        <w:autoSpaceDE w:val="0"/>
        <w:autoSpaceDN w:val="0"/>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二、开具计划生育证明</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请到原户籍所在地街道（镇）或所在学校、原工作单位的计生部门开具纸质婚育状况证明并加盖计划生育部门公章，证明须说明该夫妇的婚姻生育情况及是否存在违反计划生育政策行为。</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计划生育内容模板如下：</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某女（身份证号：……）与某男（身份证号码：……）于</w:t>
      </w:r>
      <w:r>
        <w:rPr>
          <w:rFonts w:ascii="仿宋_GB2312" w:eastAsia="仿宋_GB2312" w:hAnsi="仿宋_GB2312" w:cs="仿宋_GB2312"/>
          <w:color w:val="000000" w:themeColor="text1"/>
          <w:sz w:val="24"/>
          <w:szCs w:val="24"/>
        </w:rPr>
        <w:t xml:space="preserve"> X </w:t>
      </w:r>
      <w:r>
        <w:rPr>
          <w:rFonts w:ascii="仿宋_GB2312" w:eastAsia="仿宋_GB2312" w:hAnsi="仿宋_GB2312" w:cs="仿宋_GB2312" w:hint="eastAsia"/>
          <w:color w:val="000000" w:themeColor="text1"/>
          <w:sz w:val="24"/>
          <w:szCs w:val="24"/>
        </w:rPr>
        <w:t>年</w:t>
      </w:r>
      <w:r>
        <w:rPr>
          <w:rFonts w:ascii="仿宋_GB2312" w:eastAsia="仿宋_GB2312" w:hAnsi="仿宋_GB2312" w:cs="仿宋_GB2312"/>
          <w:color w:val="000000" w:themeColor="text1"/>
          <w:sz w:val="24"/>
          <w:szCs w:val="24"/>
        </w:rPr>
        <w:t xml:space="preserve"> X </w:t>
      </w:r>
      <w:r>
        <w:rPr>
          <w:rFonts w:ascii="仿宋_GB2312" w:eastAsia="仿宋_GB2312" w:hAnsi="仿宋_GB2312" w:cs="仿宋_GB2312" w:hint="eastAsia"/>
          <w:color w:val="000000" w:themeColor="text1"/>
          <w:sz w:val="24"/>
          <w:szCs w:val="24"/>
        </w:rPr>
        <w:t>月</w:t>
      </w:r>
      <w:r>
        <w:rPr>
          <w:rFonts w:ascii="仿宋_GB2312" w:eastAsia="仿宋_GB2312" w:hAnsi="仿宋_GB2312" w:cs="仿宋_GB2312"/>
          <w:color w:val="000000" w:themeColor="text1"/>
          <w:sz w:val="24"/>
          <w:szCs w:val="24"/>
        </w:rPr>
        <w:t xml:space="preserve"> X </w:t>
      </w:r>
      <w:r>
        <w:rPr>
          <w:rFonts w:ascii="仿宋_GB2312" w:eastAsia="仿宋_GB2312" w:hAnsi="仿宋_GB2312" w:cs="仿宋_GB2312" w:hint="eastAsia"/>
          <w:color w:val="000000" w:themeColor="text1"/>
          <w:sz w:val="24"/>
          <w:szCs w:val="24"/>
        </w:rPr>
        <w:t>日登记结婚，某女</w:t>
      </w:r>
      <w:r>
        <w:rPr>
          <w:rFonts w:ascii="仿宋_GB2312" w:eastAsia="仿宋_GB2312" w:hAnsi="仿宋_GB2312" w:cs="仿宋_GB2312"/>
          <w:color w:val="000000" w:themeColor="text1"/>
          <w:sz w:val="24"/>
          <w:szCs w:val="24"/>
        </w:rPr>
        <w:t xml:space="preserve">/男属初婚（或再婚），未育（或已育 X </w:t>
      </w:r>
      <w:r>
        <w:rPr>
          <w:rFonts w:ascii="仿宋_GB2312" w:eastAsia="仿宋_GB2312" w:hAnsi="仿宋_GB2312" w:cs="仿宋_GB2312" w:hint="eastAsia"/>
          <w:color w:val="000000" w:themeColor="text1"/>
          <w:sz w:val="24"/>
          <w:szCs w:val="24"/>
        </w:rPr>
        <w:t>个小孩），无违反计划生育政策（或于</w:t>
      </w:r>
      <w:r>
        <w:rPr>
          <w:rFonts w:ascii="仿宋_GB2312" w:eastAsia="仿宋_GB2312" w:hAnsi="仿宋_GB2312" w:cs="仿宋_GB2312"/>
          <w:color w:val="000000" w:themeColor="text1"/>
          <w:sz w:val="24"/>
          <w:szCs w:val="24"/>
        </w:rPr>
        <w:t xml:space="preserve"> X </w:t>
      </w:r>
      <w:r>
        <w:rPr>
          <w:rFonts w:ascii="仿宋_GB2312" w:eastAsia="仿宋_GB2312" w:hAnsi="仿宋_GB2312" w:cs="仿宋_GB2312" w:hint="eastAsia"/>
          <w:color w:val="000000" w:themeColor="text1"/>
          <w:sz w:val="24"/>
          <w:szCs w:val="24"/>
        </w:rPr>
        <w:t>年</w:t>
      </w:r>
      <w:r>
        <w:rPr>
          <w:rFonts w:ascii="仿宋_GB2312" w:eastAsia="仿宋_GB2312" w:hAnsi="仿宋_GB2312" w:cs="仿宋_GB2312"/>
          <w:color w:val="000000" w:themeColor="text1"/>
          <w:sz w:val="24"/>
          <w:szCs w:val="24"/>
        </w:rPr>
        <w:t>X</w:t>
      </w:r>
      <w:r>
        <w:rPr>
          <w:rFonts w:ascii="仿宋_GB2312" w:eastAsia="仿宋_GB2312" w:hAnsi="仿宋_GB2312" w:cs="仿宋_GB2312" w:hint="eastAsia"/>
          <w:color w:val="000000" w:themeColor="text1"/>
          <w:sz w:val="24"/>
          <w:szCs w:val="24"/>
        </w:rPr>
        <w:t>月</w:t>
      </w:r>
      <w:r>
        <w:rPr>
          <w:rFonts w:ascii="仿宋_GB2312" w:eastAsia="仿宋_GB2312" w:hAnsi="仿宋_GB2312" w:cs="仿宋_GB2312"/>
          <w:color w:val="000000" w:themeColor="text1"/>
          <w:sz w:val="24"/>
          <w:szCs w:val="24"/>
        </w:rPr>
        <w:t xml:space="preserve"> X </w:t>
      </w:r>
      <w:r>
        <w:rPr>
          <w:rFonts w:ascii="仿宋_GB2312" w:eastAsia="仿宋_GB2312" w:hAnsi="仿宋_GB2312" w:cs="仿宋_GB2312" w:hint="eastAsia"/>
          <w:color w:val="000000" w:themeColor="text1"/>
          <w:sz w:val="24"/>
          <w:szCs w:val="24"/>
        </w:rPr>
        <w:t>日违反计划生育政策，已于</w:t>
      </w:r>
      <w:r>
        <w:rPr>
          <w:rFonts w:ascii="仿宋_GB2312" w:eastAsia="仿宋_GB2312" w:hAnsi="仿宋_GB2312" w:cs="仿宋_GB2312"/>
          <w:color w:val="000000" w:themeColor="text1"/>
          <w:sz w:val="24"/>
          <w:szCs w:val="24"/>
        </w:rPr>
        <w:t xml:space="preserve"> X </w:t>
      </w:r>
      <w:r>
        <w:rPr>
          <w:rFonts w:ascii="仿宋_GB2312" w:eastAsia="仿宋_GB2312" w:hAnsi="仿宋_GB2312" w:cs="仿宋_GB2312" w:hint="eastAsia"/>
          <w:color w:val="000000" w:themeColor="text1"/>
          <w:sz w:val="24"/>
          <w:szCs w:val="24"/>
        </w:rPr>
        <w:t>年</w:t>
      </w:r>
      <w:r>
        <w:rPr>
          <w:rFonts w:ascii="仿宋_GB2312" w:eastAsia="仿宋_GB2312" w:hAnsi="仿宋_GB2312" w:cs="仿宋_GB2312"/>
          <w:color w:val="000000" w:themeColor="text1"/>
          <w:sz w:val="24"/>
          <w:szCs w:val="24"/>
        </w:rPr>
        <w:t xml:space="preserve"> X </w:t>
      </w:r>
      <w:r>
        <w:rPr>
          <w:rFonts w:ascii="仿宋_GB2312" w:eastAsia="仿宋_GB2312" w:hAnsi="仿宋_GB2312" w:cs="仿宋_GB2312" w:hint="eastAsia"/>
          <w:color w:val="000000" w:themeColor="text1"/>
          <w:sz w:val="24"/>
          <w:szCs w:val="24"/>
        </w:rPr>
        <w:t>月</w:t>
      </w:r>
      <w:r>
        <w:rPr>
          <w:rFonts w:ascii="仿宋_GB2312" w:eastAsia="仿宋_GB2312" w:hAnsi="仿宋_GB2312" w:cs="仿宋_GB2312"/>
          <w:color w:val="000000" w:themeColor="text1"/>
          <w:sz w:val="24"/>
          <w:szCs w:val="24"/>
        </w:rPr>
        <w:t xml:space="preserve"> X </w:t>
      </w:r>
      <w:r>
        <w:rPr>
          <w:rFonts w:ascii="仿宋_GB2312" w:eastAsia="仿宋_GB2312" w:hAnsi="仿宋_GB2312" w:cs="仿宋_GB2312" w:hint="eastAsia"/>
          <w:color w:val="000000" w:themeColor="text1"/>
          <w:sz w:val="24"/>
          <w:szCs w:val="24"/>
        </w:rPr>
        <w:t>日缴清社会抚养费）。</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联系人：</w:t>
      </w:r>
      <w:r>
        <w:rPr>
          <w:rFonts w:ascii="仿宋_GB2312" w:eastAsia="仿宋_GB2312" w:hAnsi="仿宋_GB2312" w:cs="仿宋_GB2312"/>
          <w:color w:val="000000" w:themeColor="text1"/>
          <w:sz w:val="24"/>
          <w:szCs w:val="24"/>
        </w:rPr>
        <w:t xml:space="preserve">XXX；联系号码：XXX X </w:t>
      </w:r>
      <w:r>
        <w:rPr>
          <w:rFonts w:ascii="仿宋_GB2312" w:eastAsia="仿宋_GB2312" w:hAnsi="仿宋_GB2312" w:cs="仿宋_GB2312" w:hint="eastAsia"/>
          <w:color w:val="000000" w:themeColor="text1"/>
          <w:sz w:val="24"/>
          <w:szCs w:val="24"/>
        </w:rPr>
        <w:t>年</w:t>
      </w:r>
      <w:r>
        <w:rPr>
          <w:rFonts w:ascii="仿宋_GB2312" w:eastAsia="仿宋_GB2312" w:hAnsi="仿宋_GB2312" w:cs="仿宋_GB2312"/>
          <w:color w:val="000000" w:themeColor="text1"/>
          <w:sz w:val="24"/>
          <w:szCs w:val="24"/>
        </w:rPr>
        <w:t xml:space="preserve"> X </w:t>
      </w:r>
      <w:r>
        <w:rPr>
          <w:rFonts w:ascii="仿宋_GB2312" w:eastAsia="仿宋_GB2312" w:hAnsi="仿宋_GB2312" w:cs="仿宋_GB2312" w:hint="eastAsia"/>
          <w:color w:val="000000" w:themeColor="text1"/>
          <w:sz w:val="24"/>
          <w:szCs w:val="24"/>
        </w:rPr>
        <w:t>月</w:t>
      </w:r>
      <w:r>
        <w:rPr>
          <w:rFonts w:ascii="仿宋_GB2312" w:eastAsia="仿宋_GB2312" w:hAnsi="仿宋_GB2312" w:cs="仿宋_GB2312"/>
          <w:color w:val="000000" w:themeColor="text1"/>
          <w:sz w:val="24"/>
          <w:szCs w:val="24"/>
        </w:rPr>
        <w:t xml:space="preserve"> X </w:t>
      </w:r>
      <w:r>
        <w:rPr>
          <w:rFonts w:ascii="仿宋_GB2312" w:eastAsia="仿宋_GB2312" w:hAnsi="仿宋_GB2312" w:cs="仿宋_GB2312" w:hint="eastAsia"/>
          <w:color w:val="000000" w:themeColor="text1"/>
          <w:sz w:val="24"/>
          <w:szCs w:val="24"/>
        </w:rPr>
        <w:t>日（公章）</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（联系人：刘老师，电话：</w:t>
      </w:r>
      <w:r>
        <w:rPr>
          <w:rFonts w:ascii="仿宋_GB2312" w:eastAsia="仿宋_GB2312" w:hAnsi="仿宋_GB2312" w:cs="仿宋_GB2312"/>
          <w:color w:val="000000" w:themeColor="text1"/>
          <w:sz w:val="24"/>
          <w:szCs w:val="24"/>
        </w:rPr>
        <w:t>020-39366209，行政西楼后座413）</w:t>
      </w:r>
    </w:p>
    <w:p w:rsidR="00E37845" w:rsidRDefault="00E22BDD">
      <w:pPr>
        <w:autoSpaceDE w:val="0"/>
        <w:autoSpaceDN w:val="0"/>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三、参加入职体检</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新进人员入职体检原则上集中预约，请在指定时段内自行到广州市第一人民医院进行体检；个别办理的须书面申请后，到人事处人才科开具体检介绍信。体检结果由学院（科研机构）人事秘书反馈给本人，无需本人前往领取（开具体检介绍信联系人：李老师，联系电话：</w:t>
      </w:r>
      <w:r>
        <w:rPr>
          <w:rFonts w:ascii="仿宋_GB2312" w:eastAsia="仿宋_GB2312" w:hAnsi="仿宋_GB2312" w:cs="仿宋_GB2312"/>
          <w:color w:val="000000" w:themeColor="text1"/>
          <w:sz w:val="24"/>
          <w:szCs w:val="24"/>
        </w:rPr>
        <w:t>020-39341749，地址：行政西楼后座414）。</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备注：体检须空腹，请携带小一寸证件照一张和身份证</w:t>
      </w:r>
      <w:r>
        <w:rPr>
          <w:rFonts w:ascii="仿宋_GB2312" w:eastAsia="仿宋_GB2312" w:hAnsi="仿宋_GB2312" w:cs="仿宋_GB2312"/>
          <w:color w:val="000000" w:themeColor="text1"/>
          <w:sz w:val="24"/>
          <w:szCs w:val="24"/>
        </w:rPr>
        <w:t>/护照原件。</w:t>
      </w:r>
    </w:p>
    <w:p w:rsidR="00E37845" w:rsidRDefault="00E22BDD">
      <w:pPr>
        <w:autoSpaceDE w:val="0"/>
        <w:autoSpaceDN w:val="0"/>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四、办理高校毕业生就业协议书（即“三方协议”）</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国（境）内应届毕业生毕业论文答辩通过并提供佐证材料后，联系我校人事处人才科办理“三方协议”。</w:t>
      </w:r>
    </w:p>
    <w:p w:rsidR="00E37845" w:rsidRDefault="00E22BDD">
      <w:pPr>
        <w:autoSpaceDE w:val="0"/>
        <w:autoSpaceDN w:val="0"/>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五、商定聘期内工作任务/责任目标</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完成上述事项后，请与学院（科研机构）商定聘期内工作任务</w:t>
      </w:r>
      <w:r>
        <w:rPr>
          <w:rFonts w:ascii="仿宋_GB2312" w:eastAsia="仿宋_GB2312" w:hAnsi="仿宋_GB2312" w:cs="仿宋_GB2312"/>
          <w:color w:val="000000" w:themeColor="text1"/>
          <w:sz w:val="24"/>
          <w:szCs w:val="24"/>
        </w:rPr>
        <w:t>/责任目标。双方协</w:t>
      </w:r>
      <w:r>
        <w:rPr>
          <w:rFonts w:ascii="仿宋_GB2312" w:eastAsia="仿宋_GB2312" w:hAnsi="仿宋_GB2312" w:cs="仿宋_GB2312"/>
          <w:color w:val="000000" w:themeColor="text1"/>
          <w:sz w:val="24"/>
          <w:szCs w:val="24"/>
        </w:rPr>
        <w:lastRenderedPageBreak/>
        <w:t>商确认后，请等待学院（科研机构）与您预约签约时间。请按预约时间前往广州大学人事处进行签约。</w:t>
      </w:r>
    </w:p>
    <w:p w:rsidR="00E37845" w:rsidRDefault="00E22BDD">
      <w:pPr>
        <w:autoSpaceDE w:val="0"/>
        <w:autoSpaceDN w:val="0"/>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六、办理预报到手续</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为减少您来回奔波次数，来校签约时，请您根据附表中的“引进人员类型”携带相应材料（均为电子版）一并提交至人事处人事管理科，用于办理后续手续。如有疑问欢迎咨询邱老师（联系电话：</w:t>
      </w:r>
      <w:r>
        <w:rPr>
          <w:rFonts w:ascii="仿宋_GB2312" w:eastAsia="仿宋_GB2312" w:hAnsi="仿宋_GB2312" w:cs="仿宋_GB2312"/>
          <w:color w:val="000000" w:themeColor="text1"/>
          <w:sz w:val="24"/>
          <w:szCs w:val="24"/>
        </w:rPr>
        <w:t>020-39366207，邮箱：</w:t>
      </w:r>
      <w:r>
        <w:rPr>
          <w:rFonts w:ascii="Times New Roman" w:eastAsia="仿宋_GB2312" w:hAnsi="Times New Roman"/>
          <w:color w:val="000000" w:themeColor="text1"/>
          <w:sz w:val="24"/>
          <w:szCs w:val="24"/>
        </w:rPr>
        <w:t>gdzp@gzhu.edu.cn</w:t>
      </w:r>
      <w:r>
        <w:rPr>
          <w:rFonts w:ascii="仿宋_GB2312" w:eastAsia="仿宋_GB2312" w:hAnsi="仿宋_GB2312" w:cs="仿宋_GB2312" w:hint="eastAsia"/>
          <w:color w:val="000000" w:themeColor="text1"/>
          <w:sz w:val="24"/>
          <w:szCs w:val="24"/>
        </w:rPr>
        <w:t>）。签约后请前往人事管理科领取广州大学入职流程指引。</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415" w:name="_Toc8364"/>
      <w:bookmarkStart w:id="416" w:name="_Toc15199"/>
      <w:bookmarkStart w:id="417" w:name="_Toc7557"/>
      <w:bookmarkStart w:id="418" w:name="_Toc30225"/>
      <w:bookmarkStart w:id="419" w:name="_Toc26637"/>
      <w:bookmarkStart w:id="420" w:name="_Toc29328"/>
      <w:bookmarkStart w:id="421" w:name="_Toc32713"/>
      <w:bookmarkStart w:id="422" w:name="_Toc31986"/>
      <w:bookmarkStart w:id="423" w:name="_Toc18366"/>
      <w:bookmarkStart w:id="424" w:name="_Toc28029"/>
      <w:bookmarkStart w:id="425" w:name="_Toc9911"/>
      <w:bookmarkStart w:id="426" w:name="_Toc9851"/>
      <w:bookmarkStart w:id="427" w:name="_Toc17451"/>
      <w:bookmarkStart w:id="428" w:name="_Toc2135"/>
      <w:bookmarkStart w:id="429" w:name="_Toc20105"/>
      <w:bookmarkStart w:id="430" w:name="_Toc20008"/>
      <w:bookmarkStart w:id="431" w:name="_Toc17538"/>
      <w:bookmarkStart w:id="432" w:name="_Toc27036"/>
      <w:bookmarkStart w:id="433" w:name="_Toc25238"/>
      <w:bookmarkStart w:id="434" w:name="_Toc28467"/>
      <w:bookmarkStart w:id="435" w:name="_Toc19707"/>
      <w:bookmarkStart w:id="436" w:name="_Toc519780940"/>
      <w:bookmarkStart w:id="437" w:name="_Toc23753"/>
      <w:bookmarkStart w:id="438" w:name="_Toc17411"/>
      <w:bookmarkStart w:id="439" w:name="_Toc1508"/>
      <w:bookmarkStart w:id="440" w:name="_Toc19595"/>
      <w:bookmarkStart w:id="441" w:name="_Toc23880"/>
      <w:bookmarkStart w:id="442" w:name="_Toc16961"/>
      <w:bookmarkStart w:id="443" w:name="_Toc5486"/>
      <w:bookmarkStart w:id="444" w:name="_Toc15670"/>
      <w:bookmarkStart w:id="445" w:name="_Hlk519584408"/>
      <w:bookmarkEnd w:id="415"/>
      <w:r>
        <w:rPr>
          <w:rFonts w:ascii="黑体" w:eastAsia="黑体" w:hAnsi="黑体" w:cs="黑体"/>
          <w:color w:val="000000" w:themeColor="text1"/>
          <w:sz w:val="28"/>
          <w:szCs w:val="28"/>
        </w:rPr>
        <w:t>4.1.3入职报到流程</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446" w:name="_Toc2833"/>
      <w:bookmarkStart w:id="447" w:name="_Toc26488"/>
      <w:bookmarkStart w:id="448" w:name="_Toc28508"/>
      <w:bookmarkStart w:id="449" w:name="_Toc16511"/>
      <w:bookmarkStart w:id="450" w:name="_Toc15574"/>
      <w:bookmarkStart w:id="451" w:name="_Toc26220"/>
      <w:bookmarkStart w:id="452" w:name="_Toc17651"/>
      <w:bookmarkStart w:id="453" w:name="_Toc1191"/>
      <w:bookmarkStart w:id="454" w:name="_Toc10990"/>
      <w:bookmarkStart w:id="455" w:name="_Toc519780941"/>
      <w:bookmarkStart w:id="456" w:name="_Toc19485"/>
      <w:bookmarkStart w:id="457" w:name="_Toc15156"/>
      <w:bookmarkStart w:id="458" w:name="_Toc9896"/>
      <w:bookmarkStart w:id="459" w:name="_Toc16288"/>
      <w:bookmarkStart w:id="460" w:name="_Toc6375"/>
      <w:bookmarkStart w:id="461" w:name="_Toc16204"/>
      <w:bookmarkStart w:id="462" w:name="_Toc11359"/>
      <w:bookmarkStart w:id="463" w:name="_Toc15850"/>
      <w:bookmarkStart w:id="464" w:name="_Toc21652"/>
      <w:bookmarkStart w:id="465" w:name="_Toc2221"/>
      <w:bookmarkStart w:id="466" w:name="_Toc1592"/>
      <w:bookmarkStart w:id="467" w:name="_Toc21101"/>
      <w:bookmarkStart w:id="468" w:name="_Toc11071"/>
      <w:bookmarkStart w:id="469" w:name="_Toc31568"/>
      <w:bookmarkStart w:id="470" w:name="_Toc28885"/>
      <w:bookmarkStart w:id="471" w:name="_Toc31330"/>
      <w:bookmarkStart w:id="472" w:name="_Toc10055"/>
      <w:bookmarkStart w:id="473" w:name="_Toc17638"/>
      <w:bookmarkStart w:id="474" w:name="_Toc10880"/>
      <w:r>
        <w:rPr>
          <w:rFonts w:ascii="黑体" w:eastAsia="黑体" w:hAnsi="黑体" w:cs="黑体"/>
          <w:color w:val="000000" w:themeColor="text1"/>
          <w:sz w:val="28"/>
          <w:szCs w:val="28"/>
        </w:rPr>
        <w:t>4.1.3.1广州大学事业编制人员入职手续基本流程</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rsidR="00E37845" w:rsidRDefault="00E22BDD">
      <w:pPr>
        <w:autoSpaceDE w:val="0"/>
        <w:autoSpaceDN w:val="0"/>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一、体检及考察</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收到同意引进或录取通知后，请在一个月内到人才工作科414室开具体检介绍信（如有集中预约可直接带身份证去市一体检）；</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准备《公开招聘考察表》或《高层次人才考察表》（电子版均在人事处官网下载），完成签约前的体检及计生、政审考察程序。</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备注：取得境内正高职称证或博士后证书的填《高层次人才考察表》，其余均填《公开招聘考察表》，公招硕士的体检考察事宜有人事管理科</w:t>
      </w:r>
      <w:r>
        <w:rPr>
          <w:rFonts w:ascii="仿宋_GB2312" w:eastAsia="仿宋_GB2312" w:hAnsi="仿宋_GB2312" w:cs="仿宋_GB2312"/>
          <w:color w:val="000000" w:themeColor="text1"/>
          <w:sz w:val="24"/>
          <w:szCs w:val="24"/>
        </w:rPr>
        <w:t>405邢老师负责（020-39366251）。</w:t>
      </w:r>
    </w:p>
    <w:p w:rsidR="00E37845" w:rsidRDefault="00E22BDD">
      <w:pPr>
        <w:autoSpaceDE w:val="0"/>
        <w:autoSpaceDN w:val="0"/>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二、签订协议（人才工作科414室李老师/许老师020-39341749）</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体检结果由</w:t>
      </w:r>
      <w:r>
        <w:rPr>
          <w:rFonts w:ascii="仿宋_GB2312" w:eastAsia="仿宋_GB2312" w:hAnsi="仿宋_GB2312" w:cs="仿宋_GB2312" w:hint="eastAsia"/>
          <w:color w:val="000000" w:themeColor="text1"/>
          <w:sz w:val="24"/>
          <w:szCs w:val="24"/>
        </w:rPr>
        <w:t>人才工作科反馈到学院人事秘书或本人，体检合格、计生、政审考察通过后，请到人才工作科</w:t>
      </w:r>
      <w:r>
        <w:rPr>
          <w:rFonts w:ascii="仿宋_GB2312" w:eastAsia="仿宋_GB2312" w:hAnsi="仿宋_GB2312" w:cs="仿宋_GB2312"/>
          <w:color w:val="000000" w:themeColor="text1"/>
          <w:sz w:val="24"/>
          <w:szCs w:val="24"/>
        </w:rPr>
        <w:t>414室</w:t>
      </w:r>
      <w:r>
        <w:rPr>
          <w:rFonts w:ascii="仿宋_GB2312" w:eastAsia="仿宋_GB2312" w:hAnsi="仿宋_GB2312" w:cs="仿宋_GB2312" w:hint="eastAsia"/>
          <w:color w:val="000000" w:themeColor="text1"/>
          <w:sz w:val="24"/>
          <w:szCs w:val="24"/>
        </w:rPr>
        <w:t>草签《引进人才协议》；</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应届毕业生签《引进人才协议》后，请到人才工作科414室李老师或许老师处签署《全国毕业研究生就业三方协议》。</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备注：公招硕士的签约事项由人事管理科</w:t>
      </w:r>
      <w:r>
        <w:rPr>
          <w:rFonts w:ascii="仿宋_GB2312" w:eastAsia="仿宋_GB2312" w:hAnsi="仿宋_GB2312" w:cs="仿宋_GB2312"/>
          <w:color w:val="000000" w:themeColor="text1"/>
          <w:sz w:val="24"/>
          <w:szCs w:val="24"/>
        </w:rPr>
        <w:t>405邢老师负责（020-39366251）。</w:t>
      </w:r>
    </w:p>
    <w:p w:rsidR="00E37845" w:rsidRDefault="00E22BDD">
      <w:pPr>
        <w:autoSpaceDE w:val="0"/>
        <w:autoSpaceDN w:val="0"/>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三、开商调或接收函（人事管理科405室邱老师020-39366207）</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在职调动人员凭计生证明原件到人事管理科405室邱老师处开商调函，但如果您是从原单位辞职过来的，档案不能直接来广大，需找到一家能开出同意调出函的人才市场接收档案后，再到邱老师处开商调把档案调至广大，同意调出函由本人带过来给邱老师，用于办理调令。</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lastRenderedPageBreak/>
        <w:t>（二）</w:t>
      </w:r>
      <w:r>
        <w:rPr>
          <w:rFonts w:ascii="仿宋_GB2312" w:eastAsia="仿宋_GB2312" w:hAnsi="仿宋_GB2312" w:cs="仿宋_GB2312"/>
          <w:color w:val="000000" w:themeColor="text1"/>
          <w:sz w:val="24"/>
          <w:szCs w:val="24"/>
        </w:rPr>
        <w:t>应届生无需开商调，凭三方就业协议回校办理《工作报到证》及档案转移手续；</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当年新出站博士后凭邱老师开的工作接收函回原博士后单位办理出站介绍信及转档手续；</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w:t>
      </w:r>
      <w:r>
        <w:rPr>
          <w:rFonts w:ascii="仿宋_GB2312" w:eastAsia="仿宋_GB2312" w:hAnsi="仿宋_GB2312" w:cs="仿宋_GB2312"/>
          <w:color w:val="000000" w:themeColor="text1"/>
          <w:sz w:val="24"/>
          <w:szCs w:val="24"/>
        </w:rPr>
        <w:t>海外留学归境人员凭邱老师开的留学人员工作接收函到广州市留学人员服务管理中心办理</w:t>
      </w:r>
      <w:r>
        <w:rPr>
          <w:rFonts w:ascii="仿宋_GB2312" w:eastAsia="仿宋_GB2312" w:hAnsi="仿宋_GB2312" w:cs="仿宋_GB2312" w:hint="eastAsia"/>
          <w:color w:val="000000" w:themeColor="text1"/>
          <w:sz w:val="24"/>
          <w:szCs w:val="24"/>
        </w:rPr>
        <w:t>调档、回国工作报到证、留学人员优惠资格证及留学人员户口指标申报等手续。待留服办完相关手续，无需再用到档案，请及时到邱老师处开调档函，将档案调回我校。</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备注：所有人事档案必须通过机要渠道寄往广州大学人事处（广州市番禺区大学城外环西路</w:t>
      </w:r>
      <w:r>
        <w:rPr>
          <w:rFonts w:ascii="仿宋_GB2312" w:eastAsia="仿宋_GB2312" w:hAnsi="仿宋_GB2312" w:cs="仿宋_GB2312"/>
          <w:color w:val="000000" w:themeColor="text1"/>
          <w:sz w:val="24"/>
          <w:szCs w:val="24"/>
        </w:rPr>
        <w:t>230号行政西后座406室詹老师，020-39366214）。</w:t>
      </w:r>
    </w:p>
    <w:p w:rsidR="00E37845" w:rsidRDefault="00E22BDD">
      <w:pPr>
        <w:autoSpaceDE w:val="0"/>
        <w:autoSpaceDN w:val="0"/>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四、启动公示备案（人事管理科405室邱老师020-39366207）</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按邱老师所给材料清单及要求提交增人信息材料（各类人员的材料清单详见</w:t>
      </w:r>
      <w:r>
        <w:rPr>
          <w:rFonts w:ascii="仿宋_GB2312" w:eastAsia="仿宋_GB2312" w:hAnsi="仿宋_GB2312" w:cs="仿宋_GB2312" w:hint="eastAsia"/>
          <w:color w:val="000000" w:themeColor="text1"/>
          <w:sz w:val="24"/>
          <w:szCs w:val="24"/>
        </w:rPr>
        <w:t>附件一），材料齐全并审核相关信息无误后，邱老师在两个星期内启动公示手续；</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公示期一般为七个工作日，公示信息可在广州市人社局官网及广州大学人事处官网上查看；</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公示期结束且无异议后，邱老师在两个星期内启动备案程序。</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备注：广州市事业单位之间流动人员、军转干部等政策安置性人员、有境内正高职称证书或境内出站博士后证书人员，无需公示备案。</w:t>
      </w:r>
    </w:p>
    <w:p w:rsidR="00E37845" w:rsidRDefault="00E22BDD">
      <w:pPr>
        <w:autoSpaceDE w:val="0"/>
        <w:autoSpaceDN w:val="0"/>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五、办理增人信息卡（人事管理科405室邱老师020-39366207）</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（一）境内应届生在备案审批通过后，</w:t>
      </w:r>
      <w:r>
        <w:rPr>
          <w:rFonts w:ascii="仿宋_GB2312" w:eastAsia="仿宋_GB2312" w:hAnsi="仿宋_GB2312" w:cs="仿宋_GB2312"/>
          <w:color w:val="000000" w:themeColor="text1"/>
          <w:sz w:val="24"/>
          <w:szCs w:val="24"/>
        </w:rPr>
        <w:t>邱老师在两个星期内办理增人卡手续；</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（二）海外留学归境人员在备案审批通过且档案已到广州留服中心后，凭档案接收证明到</w:t>
      </w:r>
      <w:r>
        <w:rPr>
          <w:rFonts w:ascii="仿宋_GB2312" w:eastAsia="仿宋_GB2312" w:hAnsi="仿宋_GB2312" w:cs="仿宋_GB2312"/>
          <w:color w:val="000000" w:themeColor="text1"/>
          <w:sz w:val="24"/>
          <w:szCs w:val="24"/>
        </w:rPr>
        <w:t>邱老师处办理增人卡手续；</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（三）境内新出站博士后材料齐全后，</w:t>
      </w:r>
      <w:r>
        <w:rPr>
          <w:rFonts w:ascii="仿宋_GB2312" w:eastAsia="仿宋_GB2312" w:hAnsi="仿宋_GB2312" w:cs="仿宋_GB2312"/>
          <w:color w:val="000000" w:themeColor="text1"/>
          <w:sz w:val="24"/>
          <w:szCs w:val="24"/>
        </w:rPr>
        <w:t>邱老师在两个星期内办理增人卡手续；</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（四）其余人员（含境内正高）则必须在档案到我校、所有材料齐全、公示备案审批（境内正高无需公示备案）后，方可办理增人卡手续。</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备注：增人卡审批通过后，邱老师会及时反馈到学院人事秘书或个人。</w:t>
      </w:r>
    </w:p>
    <w:p w:rsidR="00E37845" w:rsidRDefault="00E22BDD">
      <w:pPr>
        <w:autoSpaceDE w:val="0"/>
        <w:autoSpaceDN w:val="0"/>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六、办理报到（人事管理科405室张老师020-39366207）</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增人卡审批通过后，</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境内应届生及海外留学归境人员凭报到证等材料（各类人员报到所需材料及办理流程详见</w:t>
      </w:r>
      <w:r>
        <w:rPr>
          <w:rFonts w:ascii="仿宋_GB2312" w:eastAsia="仿宋_GB2312" w:hAnsi="仿宋_GB2312" w:cs="仿宋_GB2312" w:hint="eastAsia"/>
          <w:color w:val="000000" w:themeColor="text1"/>
          <w:sz w:val="24"/>
          <w:szCs w:val="24"/>
        </w:rPr>
        <w:t>附件二）到</w:t>
      </w:r>
      <w:r>
        <w:rPr>
          <w:rFonts w:ascii="仿宋_GB2312" w:eastAsia="仿宋_GB2312" w:hAnsi="仿宋_GB2312" w:cs="仿宋_GB2312"/>
          <w:color w:val="000000" w:themeColor="text1"/>
          <w:sz w:val="24"/>
          <w:szCs w:val="24"/>
        </w:rPr>
        <w:t>张老师处</w:t>
      </w:r>
      <w:r>
        <w:rPr>
          <w:rFonts w:ascii="仿宋_GB2312" w:eastAsia="仿宋_GB2312" w:hAnsi="仿宋_GB2312" w:cs="仿宋_GB2312" w:hint="eastAsia"/>
          <w:color w:val="000000" w:themeColor="text1"/>
          <w:sz w:val="24"/>
          <w:szCs w:val="24"/>
        </w:rPr>
        <w:t>预约办理报到手续；</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lastRenderedPageBreak/>
        <w:t>（二）</w:t>
      </w:r>
      <w:r>
        <w:rPr>
          <w:rFonts w:ascii="仿宋_GB2312" w:eastAsia="仿宋_GB2312" w:hAnsi="仿宋_GB2312" w:cs="仿宋_GB2312"/>
          <w:color w:val="000000" w:themeColor="text1"/>
          <w:sz w:val="24"/>
          <w:szCs w:val="24"/>
        </w:rPr>
        <w:t>境内新出站博士后凭博士后出站介绍信等材料（各类人员报到所需材料及办理流程详见</w:t>
      </w:r>
      <w:r>
        <w:rPr>
          <w:rFonts w:ascii="仿宋_GB2312" w:eastAsia="仿宋_GB2312" w:hAnsi="仿宋_GB2312" w:cs="仿宋_GB2312" w:hint="eastAsia"/>
          <w:color w:val="000000" w:themeColor="text1"/>
          <w:sz w:val="24"/>
          <w:szCs w:val="24"/>
        </w:rPr>
        <w:t>附件二）到</w:t>
      </w:r>
      <w:r>
        <w:rPr>
          <w:rFonts w:ascii="仿宋_GB2312" w:eastAsia="仿宋_GB2312" w:hAnsi="仿宋_GB2312" w:cs="仿宋_GB2312"/>
          <w:color w:val="000000" w:themeColor="text1"/>
          <w:sz w:val="24"/>
          <w:szCs w:val="24"/>
        </w:rPr>
        <w:t>张老师处</w:t>
      </w:r>
      <w:r>
        <w:rPr>
          <w:rFonts w:ascii="仿宋_GB2312" w:eastAsia="仿宋_GB2312" w:hAnsi="仿宋_GB2312" w:cs="仿宋_GB2312" w:hint="eastAsia"/>
          <w:color w:val="000000" w:themeColor="text1"/>
          <w:sz w:val="24"/>
          <w:szCs w:val="24"/>
        </w:rPr>
        <w:t>预约办理报到手续；</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在职调动人员必须凭原单位工资转移证明或停薪证明才能办理报到手续，如原单位不能出具工资转移证明或停薪证明的，则必须等</w:t>
      </w:r>
      <w:r>
        <w:rPr>
          <w:rFonts w:ascii="仿宋_GB2312" w:eastAsia="仿宋_GB2312" w:hAnsi="仿宋_GB2312" w:cs="仿宋_GB2312" w:hint="eastAsia"/>
          <w:color w:val="000000" w:themeColor="text1"/>
          <w:sz w:val="24"/>
          <w:szCs w:val="24"/>
        </w:rPr>
        <w:t>办完广州市人事调令后方可凭工作关系介绍信、行政关系介绍信到</w:t>
      </w:r>
      <w:r>
        <w:rPr>
          <w:rFonts w:ascii="仿宋_GB2312" w:eastAsia="仿宋_GB2312" w:hAnsi="仿宋_GB2312" w:cs="仿宋_GB2312"/>
          <w:color w:val="000000" w:themeColor="text1"/>
          <w:sz w:val="24"/>
          <w:szCs w:val="24"/>
        </w:rPr>
        <w:t>张老师处</w:t>
      </w:r>
      <w:r>
        <w:rPr>
          <w:rFonts w:ascii="仿宋_GB2312" w:eastAsia="仿宋_GB2312" w:hAnsi="仿宋_GB2312" w:cs="仿宋_GB2312" w:hint="eastAsia"/>
          <w:color w:val="000000" w:themeColor="text1"/>
          <w:sz w:val="24"/>
          <w:szCs w:val="24"/>
        </w:rPr>
        <w:t>预约办理报到。</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w:t>
      </w:r>
      <w:r>
        <w:rPr>
          <w:rFonts w:ascii="仿宋_GB2312" w:eastAsia="仿宋_GB2312" w:hAnsi="仿宋_GB2312" w:cs="仿宋_GB2312"/>
          <w:color w:val="000000" w:themeColor="text1"/>
          <w:sz w:val="24"/>
          <w:szCs w:val="24"/>
        </w:rPr>
        <w:t>符合广州市人才绿卡申报条件的人员，可根据自身需求在报到后申报广州市人才绿卡。申报流程包括：申请——核定——制证——发证，申领过程在网上完成，不接受纸质材料申报。</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个人申请的步骤主要包括：登录“广州市人才绿卡管理系统”→填报、上传相关报表和附件材料→资料填写完后生成“主政报表”打印正反面一式三份→人事处加盖公章（人事管理科</w:t>
      </w:r>
      <w:r>
        <w:rPr>
          <w:rFonts w:ascii="仿宋_GB2312" w:eastAsia="仿宋_GB2312" w:hAnsi="仿宋_GB2312" w:cs="仿宋_GB2312"/>
          <w:color w:val="000000" w:themeColor="text1"/>
          <w:sz w:val="24"/>
          <w:szCs w:val="24"/>
        </w:rPr>
        <w:t>张老师经办）→上传申报材料并提交→静等申领窗口通知领取人才绿卡。</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相关链接：</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①广州市人才绿卡申请指南（</w:t>
      </w:r>
      <w:r>
        <w:rPr>
          <w:rFonts w:ascii="仿宋_GB2312" w:eastAsia="仿宋_GB2312" w:hAnsi="仿宋_GB2312" w:cs="仿宋_GB2312"/>
          <w:color w:val="000000" w:themeColor="text1"/>
          <w:sz w:val="24"/>
          <w:szCs w:val="24"/>
        </w:rPr>
        <w:t>2017）</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Style w:val="af2"/>
          <w:rFonts w:ascii="Times New Roman" w:eastAsia="仿宋_GB2312" w:hAnsi="Times New Roman"/>
          <w:color w:val="000000" w:themeColor="text1"/>
          <w:sz w:val="24"/>
          <w:szCs w:val="24"/>
        </w:rPr>
        <w:t>http://www.hrssgz.gov.cn/tzgg/gg/201706/t20170609_264116.htm</w:t>
      </w:r>
      <w:r>
        <w:rPr>
          <w:rFonts w:ascii="仿宋_GB2312" w:eastAsia="仿宋_GB2312" w:hAnsi="仿宋_GB2312" w:cs="仿宋_GB2312" w:hint="eastAsia"/>
          <w:color w:val="000000" w:themeColor="text1"/>
          <w:sz w:val="24"/>
          <w:szCs w:val="24"/>
        </w:rPr>
        <w:t>（第</w:t>
      </w:r>
      <w:r>
        <w:rPr>
          <w:rFonts w:ascii="仿宋_GB2312" w:eastAsia="仿宋_GB2312" w:hAnsi="仿宋_GB2312" w:cs="仿宋_GB2312"/>
          <w:color w:val="000000" w:themeColor="text1"/>
          <w:sz w:val="24"/>
          <w:szCs w:val="24"/>
        </w:rPr>
        <w:t>12项）</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②广州市人才绿卡管理系统</w:t>
      </w:r>
    </w:p>
    <w:p w:rsidR="00E37845" w:rsidRDefault="00E22BDD">
      <w:pPr>
        <w:tabs>
          <w:tab w:val="left" w:pos="312"/>
        </w:tabs>
        <w:adjustRightInd w:val="0"/>
        <w:snapToGrid w:val="0"/>
        <w:spacing w:line="360" w:lineRule="auto"/>
        <w:ind w:firstLineChars="200" w:firstLine="480"/>
        <w:rPr>
          <w:rStyle w:val="af2"/>
          <w:rFonts w:ascii="Times New Roman" w:eastAsia="仿宋_GB2312" w:hAnsi="Times New Roman"/>
          <w:color w:val="000000" w:themeColor="text1"/>
          <w:sz w:val="24"/>
          <w:szCs w:val="24"/>
        </w:rPr>
      </w:pPr>
      <w:r>
        <w:rPr>
          <w:rStyle w:val="af2"/>
          <w:rFonts w:ascii="Times New Roman" w:eastAsia="仿宋_GB2312" w:hAnsi="Times New Roman"/>
          <w:color w:val="000000" w:themeColor="text1"/>
          <w:sz w:val="24"/>
          <w:szCs w:val="24"/>
        </w:rPr>
        <w:t>http:www.hrssgz.gov.cn/vsgzhr/login_rclk2.aspx</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备注：请各学院（机构）人事秘书与新引进人员协调入职报到时间，由人事秘书或入职者本人先进行电话预约（张老师</w:t>
      </w:r>
      <w:r>
        <w:rPr>
          <w:rFonts w:ascii="仿宋_GB2312" w:eastAsia="仿宋_GB2312" w:hAnsi="仿宋_GB2312" w:cs="仿宋_GB2312"/>
          <w:color w:val="000000" w:themeColor="text1"/>
          <w:sz w:val="24"/>
          <w:szCs w:val="24"/>
        </w:rPr>
        <w:t>39366207），再到人事处管理科（提交入职相关材料）和人才科（合同加盖校章）办理手续。如不预约，一旦工作量超额，将按照人员报到排队情况，最末序位将顺延半天办理入职手续。</w:t>
      </w:r>
    </w:p>
    <w:p w:rsidR="00E37845" w:rsidRDefault="00E22BDD">
      <w:pPr>
        <w:autoSpaceDE w:val="0"/>
        <w:autoSpaceDN w:val="0"/>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七、办理公费医疗（人事管理科405室邢老师020-39366251）</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邱老师将增人卡打印盖章后，经查证档案已到我校（海外留学归境人员档案已到广州留服中心）的在办理报到后，可逢周二、周五到人事管理科</w:t>
      </w:r>
      <w:r>
        <w:rPr>
          <w:rFonts w:ascii="仿宋_GB2312" w:eastAsia="仿宋_GB2312" w:hAnsi="仿宋_GB2312" w:cs="仿宋_GB2312"/>
          <w:color w:val="000000" w:themeColor="text1"/>
          <w:sz w:val="24"/>
          <w:szCs w:val="24"/>
        </w:rPr>
        <w:t>405室邢老师处办理公费医疗。</w:t>
      </w:r>
    </w:p>
    <w:p w:rsidR="00E37845" w:rsidRDefault="00E22BDD">
      <w:pPr>
        <w:autoSpaceDE w:val="0"/>
        <w:autoSpaceDN w:val="0"/>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八、办理调令及落户（人事管理科405室邱老师020-39366207）</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（一）在职调动人员在档案到我校、增人卡已办好后，按要求提交相关材料（见附件三）到</w:t>
      </w:r>
      <w:r>
        <w:rPr>
          <w:rFonts w:ascii="仿宋_GB2312" w:eastAsia="仿宋_GB2312" w:hAnsi="仿宋_GB2312" w:cs="仿宋_GB2312"/>
          <w:color w:val="000000" w:themeColor="text1"/>
          <w:sz w:val="24"/>
          <w:szCs w:val="24"/>
        </w:rPr>
        <w:t>邱老师处办理人事调令及入户指标系统申报及预约初审手续；初审预约通过后，携带邱老师准备好的调令材料及相应的原件到珠江新城户证中心窗口办理初审；初审通过后，再提交到市人社局终审，终审通过公示15个工作日后收到短信通知即可凭回执到指定地点领取调令及入户指标卡。</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lastRenderedPageBreak/>
        <w:t>（二）</w:t>
      </w:r>
      <w:r>
        <w:rPr>
          <w:rFonts w:ascii="仿宋_GB2312" w:eastAsia="仿宋_GB2312" w:hAnsi="仿宋_GB2312" w:cs="仿宋_GB2312"/>
          <w:color w:val="000000" w:themeColor="text1"/>
          <w:sz w:val="24"/>
          <w:szCs w:val="24"/>
        </w:rPr>
        <w:t>调令终审通过后，</w:t>
      </w:r>
      <w:r>
        <w:rPr>
          <w:rFonts w:ascii="仿宋_GB2312" w:eastAsia="仿宋_GB2312" w:hAnsi="仿宋_GB2312" w:cs="仿宋_GB2312" w:hint="eastAsia"/>
          <w:color w:val="000000" w:themeColor="text1"/>
          <w:sz w:val="24"/>
          <w:szCs w:val="24"/>
        </w:rPr>
        <w:t>在职调动人员凭调令及入户指标卡原件到邱老师处领取其他入户材料，按相关指引到番禺区公安分局户政服务窗口办理入户复核事项，并领取户口准迁证，凭户口准迁证到原户口所在地办理户口迁移证，再凭户口迁移证到小谷围派出所办理落户；同时，凭广州市调令到原单位办理工资关系、行政关系、组织关系调出手续。</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（三）应届生可将户口迁移证复印件备注好生源地、广州市有无房产及联系电话后（如户口仍在老家的，一般凭报到证及毕业证到户口所在地即可办理户口迁移证，如无法办理可找</w:t>
      </w:r>
      <w:r>
        <w:rPr>
          <w:rFonts w:ascii="仿宋_GB2312" w:eastAsia="仿宋_GB2312" w:hAnsi="仿宋_GB2312" w:cs="仿宋_GB2312"/>
          <w:color w:val="000000" w:themeColor="text1"/>
          <w:sz w:val="24"/>
          <w:szCs w:val="24"/>
        </w:rPr>
        <w:t>邱老师开证明）交给邱老师申报广州市入户指标卡，入户指标卡审批通过后，再到张老师处领取其他入户材料，按相关指引办理入户。</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（四）市内调动（原单位及户口均在广州市）办完增人卡后，再到人事管理科</w:t>
      </w:r>
      <w:r>
        <w:rPr>
          <w:rFonts w:ascii="仿宋_GB2312" w:eastAsia="仿宋_GB2312" w:hAnsi="仿宋_GB2312" w:cs="仿宋_GB2312"/>
          <w:color w:val="000000" w:themeColor="text1"/>
          <w:sz w:val="24"/>
          <w:szCs w:val="24"/>
        </w:rPr>
        <w:t>405室邱老师处开调令（商调函），拿回原单位办理人事关系转移手续。</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（五）新出站博士后凭原单位所在省人社厅发出站行政介绍信，到广东省人社厅领取入户指标卡办理落户。</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（六）海外留学回境人员的调令及入户指标卡由广州留服中心办理。</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备注：各类人员的调动及落户手续基本流程见附件四、五、六。</w:t>
      </w:r>
    </w:p>
    <w:p w:rsidR="00E37845" w:rsidRDefault="00E22BDD">
      <w:pPr>
        <w:autoSpaceDE w:val="0"/>
        <w:autoSpaceDN w:val="0"/>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九、其它（人事管理科405室邢老师020-39366251）</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所有应届博硕毕业生办完所有落户手续，须把《毕业生就业报到证》（含海外回国人员初次就业报到证）交回邢老师处报备；</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所有在职调动人员办完调令后，须将增人卡、同意调出函、职称评审表、市人社局复函等相关原件归还人事</w:t>
      </w:r>
      <w:r>
        <w:rPr>
          <w:rFonts w:ascii="仿宋_GB2312" w:eastAsia="仿宋_GB2312" w:hAnsi="仿宋_GB2312" w:cs="仿宋_GB2312" w:hint="eastAsia"/>
          <w:color w:val="000000" w:themeColor="text1"/>
          <w:sz w:val="24"/>
          <w:szCs w:val="24"/>
        </w:rPr>
        <w:t>管理</w:t>
      </w:r>
      <w:r>
        <w:rPr>
          <w:rFonts w:ascii="仿宋_GB2312" w:eastAsia="仿宋_GB2312" w:hAnsi="仿宋_GB2312" w:cs="仿宋_GB2312"/>
          <w:color w:val="000000" w:themeColor="text1"/>
          <w:sz w:val="24"/>
          <w:szCs w:val="24"/>
        </w:rPr>
        <w:t>科存档。</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sectPr w:rsidR="00E37845">
          <w:footerReference w:type="default" r:id="rId12"/>
          <w:pgSz w:w="11906" w:h="16838"/>
          <w:pgMar w:top="1440" w:right="1417" w:bottom="1440" w:left="1474" w:header="851" w:footer="992" w:gutter="0"/>
          <w:pgNumType w:start="1"/>
          <w:cols w:space="0"/>
          <w:docGrid w:type="lines" w:linePitch="312"/>
        </w:sectPr>
      </w:pPr>
      <w:r>
        <w:rPr>
          <w:rFonts w:ascii="仿宋_GB2312" w:eastAsia="仿宋_GB2312" w:hAnsi="仿宋_GB2312" w:cs="仿宋_GB2312"/>
          <w:color w:val="000000" w:themeColor="text1"/>
          <w:sz w:val="24"/>
          <w:szCs w:val="24"/>
        </w:rPr>
        <w:br w:type="page"/>
      </w:r>
    </w:p>
    <w:p w:rsidR="00E37845" w:rsidRDefault="00E22BDD">
      <w:pPr>
        <w:tabs>
          <w:tab w:val="left" w:pos="312"/>
        </w:tabs>
        <w:adjustRightInd w:val="0"/>
        <w:snapToGrid w:val="0"/>
        <w:spacing w:line="360" w:lineRule="auto"/>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lastRenderedPageBreak/>
        <w:t>附件一：增人卡材料清单及要求</w:t>
      </w:r>
    </w:p>
    <w:tbl>
      <w:tblPr>
        <w:tblW w:w="14566" w:type="dxa"/>
        <w:jc w:val="center"/>
        <w:tblLayout w:type="fixed"/>
        <w:tblCellMar>
          <w:top w:w="15" w:type="dxa"/>
          <w:left w:w="15" w:type="dxa"/>
          <w:bottom w:w="15" w:type="dxa"/>
          <w:right w:w="15" w:type="dxa"/>
        </w:tblCellMar>
        <w:tblLook w:val="04A0" w:firstRow="1" w:lastRow="0" w:firstColumn="1" w:lastColumn="0" w:noHBand="0" w:noVBand="1"/>
      </w:tblPr>
      <w:tblGrid>
        <w:gridCol w:w="922"/>
        <w:gridCol w:w="763"/>
        <w:gridCol w:w="690"/>
        <w:gridCol w:w="900"/>
        <w:gridCol w:w="900"/>
        <w:gridCol w:w="805"/>
        <w:gridCol w:w="873"/>
        <w:gridCol w:w="831"/>
        <w:gridCol w:w="791"/>
        <w:gridCol w:w="887"/>
        <w:gridCol w:w="913"/>
        <w:gridCol w:w="887"/>
        <w:gridCol w:w="900"/>
        <w:gridCol w:w="968"/>
        <w:gridCol w:w="791"/>
        <w:gridCol w:w="832"/>
        <w:gridCol w:w="913"/>
      </w:tblGrid>
      <w:tr w:rsidR="00E37845">
        <w:trPr>
          <w:trHeight w:val="680"/>
          <w:jc w:val="center"/>
        </w:trPr>
        <w:tc>
          <w:tcPr>
            <w:tcW w:w="922"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jc w:val="center"/>
              <w:textAlignment w:val="center"/>
              <w:rPr>
                <w:rFonts w:ascii="黑体" w:eastAsia="黑体" w:hAnsi="黑体" w:cs="黑体"/>
                <w:color w:val="000000" w:themeColor="text1"/>
                <w:kern w:val="0"/>
              </w:rPr>
            </w:pPr>
            <w:r>
              <w:rPr>
                <w:rFonts w:ascii="黑体" w:eastAsia="黑体" w:hAnsi="黑体" w:cs="黑体" w:hint="eastAsia"/>
                <w:color w:val="000000" w:themeColor="text1"/>
                <w:kern w:val="0"/>
              </w:rPr>
              <w:t>增人</w:t>
            </w:r>
          </w:p>
          <w:p w:rsidR="00E37845" w:rsidRDefault="00E22BDD">
            <w:pPr>
              <w:widowControl/>
              <w:adjustRightInd w:val="0"/>
              <w:snapToGrid w:val="0"/>
              <w:jc w:val="center"/>
              <w:textAlignment w:val="center"/>
              <w:rPr>
                <w:rFonts w:ascii="黑体" w:eastAsia="黑体" w:hAnsi="黑体" w:cs="黑体"/>
                <w:color w:val="000000" w:themeColor="text1"/>
              </w:rPr>
            </w:pPr>
            <w:r>
              <w:rPr>
                <w:rFonts w:ascii="黑体" w:eastAsia="黑体" w:hAnsi="黑体" w:cs="黑体" w:hint="eastAsia"/>
                <w:color w:val="000000" w:themeColor="text1"/>
                <w:kern w:val="0"/>
              </w:rPr>
              <w:t>类型</w:t>
            </w:r>
          </w:p>
        </w:tc>
        <w:tc>
          <w:tcPr>
            <w:tcW w:w="763" w:type="dxa"/>
            <w:tcBorders>
              <w:top w:val="single" w:sz="4" w:space="0" w:color="000080"/>
              <w:left w:val="single" w:sz="4" w:space="0" w:color="000080"/>
              <w:bottom w:val="single" w:sz="4" w:space="0" w:color="000080"/>
              <w:right w:val="single" w:sz="4" w:space="0" w:color="000080"/>
            </w:tcBorders>
            <w:shd w:val="clear" w:color="auto" w:fill="FFFF00"/>
            <w:vAlign w:val="center"/>
          </w:tcPr>
          <w:p w:rsidR="00E37845" w:rsidRDefault="00E22BDD">
            <w:pPr>
              <w:widowControl/>
              <w:adjustRightInd w:val="0"/>
              <w:snapToGrid w:val="0"/>
              <w:jc w:val="center"/>
              <w:textAlignment w:val="center"/>
              <w:rPr>
                <w:rFonts w:ascii="黑体" w:eastAsia="黑体" w:hAnsi="黑体" w:cs="黑体"/>
                <w:color w:val="000000" w:themeColor="text1"/>
              </w:rPr>
            </w:pPr>
            <w:r>
              <w:rPr>
                <w:rFonts w:ascii="黑体" w:eastAsia="黑体" w:hAnsi="黑体" w:cs="黑体" w:hint="eastAsia"/>
                <w:color w:val="000000" w:themeColor="text1"/>
                <w:kern w:val="0"/>
              </w:rPr>
              <w:t>1.增人信息表</w:t>
            </w:r>
          </w:p>
        </w:tc>
        <w:tc>
          <w:tcPr>
            <w:tcW w:w="690" w:type="dxa"/>
            <w:tcBorders>
              <w:top w:val="single" w:sz="4" w:space="0" w:color="000080"/>
              <w:left w:val="single" w:sz="4" w:space="0" w:color="000080"/>
              <w:bottom w:val="single" w:sz="4" w:space="0" w:color="000080"/>
              <w:right w:val="single" w:sz="4" w:space="0" w:color="000080"/>
            </w:tcBorders>
            <w:shd w:val="clear" w:color="auto" w:fill="FFFF00"/>
            <w:vAlign w:val="center"/>
          </w:tcPr>
          <w:p w:rsidR="00E37845" w:rsidRDefault="00E22BDD">
            <w:pPr>
              <w:widowControl/>
              <w:adjustRightInd w:val="0"/>
              <w:snapToGrid w:val="0"/>
              <w:jc w:val="center"/>
              <w:textAlignment w:val="center"/>
              <w:rPr>
                <w:rFonts w:ascii="黑体" w:eastAsia="黑体" w:hAnsi="黑体" w:cs="黑体"/>
                <w:color w:val="000000" w:themeColor="text1"/>
              </w:rPr>
            </w:pPr>
            <w:r>
              <w:rPr>
                <w:rFonts w:ascii="黑体" w:eastAsia="黑体" w:hAnsi="黑体" w:cs="黑体" w:hint="eastAsia"/>
                <w:color w:val="000000" w:themeColor="text1"/>
                <w:kern w:val="0"/>
              </w:rPr>
              <w:t>2.一寸彩照</w:t>
            </w:r>
          </w:p>
        </w:tc>
        <w:tc>
          <w:tcPr>
            <w:tcW w:w="900" w:type="dxa"/>
            <w:tcBorders>
              <w:top w:val="single" w:sz="4" w:space="0" w:color="000080"/>
              <w:left w:val="single" w:sz="4" w:space="0" w:color="000080"/>
              <w:bottom w:val="single" w:sz="4" w:space="0" w:color="000080"/>
              <w:right w:val="single" w:sz="4" w:space="0" w:color="000080"/>
            </w:tcBorders>
            <w:shd w:val="clear" w:color="auto" w:fill="FFFF00"/>
            <w:vAlign w:val="center"/>
          </w:tcPr>
          <w:p w:rsidR="00E37845" w:rsidRDefault="00E22BDD">
            <w:pPr>
              <w:widowControl/>
              <w:adjustRightInd w:val="0"/>
              <w:snapToGrid w:val="0"/>
              <w:jc w:val="center"/>
              <w:textAlignment w:val="center"/>
              <w:rPr>
                <w:rFonts w:ascii="黑体" w:eastAsia="黑体" w:hAnsi="黑体" w:cs="黑体"/>
                <w:color w:val="000000" w:themeColor="text1"/>
              </w:rPr>
            </w:pPr>
            <w:r>
              <w:rPr>
                <w:rFonts w:ascii="黑体" w:eastAsia="黑体" w:hAnsi="黑体" w:cs="黑体" w:hint="eastAsia"/>
                <w:color w:val="000000" w:themeColor="text1"/>
                <w:kern w:val="0"/>
              </w:rPr>
              <w:t>3.身份证正反面</w:t>
            </w:r>
          </w:p>
        </w:tc>
        <w:tc>
          <w:tcPr>
            <w:tcW w:w="900" w:type="dxa"/>
            <w:tcBorders>
              <w:top w:val="single" w:sz="4" w:space="0" w:color="000080"/>
              <w:left w:val="single" w:sz="4" w:space="0" w:color="000080"/>
              <w:bottom w:val="single" w:sz="4" w:space="0" w:color="000080"/>
              <w:right w:val="single" w:sz="4" w:space="0" w:color="000080"/>
            </w:tcBorders>
            <w:shd w:val="clear" w:color="auto" w:fill="FFFF00"/>
            <w:vAlign w:val="center"/>
          </w:tcPr>
          <w:p w:rsidR="00E37845" w:rsidRDefault="00E22BDD">
            <w:pPr>
              <w:widowControl/>
              <w:adjustRightInd w:val="0"/>
              <w:snapToGrid w:val="0"/>
              <w:jc w:val="center"/>
              <w:textAlignment w:val="center"/>
              <w:rPr>
                <w:rFonts w:ascii="黑体" w:eastAsia="黑体" w:hAnsi="黑体" w:cs="黑体"/>
                <w:color w:val="000000" w:themeColor="text1"/>
              </w:rPr>
            </w:pPr>
            <w:r>
              <w:rPr>
                <w:rFonts w:ascii="黑体" w:eastAsia="黑体" w:hAnsi="黑体" w:cs="黑体" w:hint="eastAsia"/>
                <w:color w:val="000000" w:themeColor="text1"/>
                <w:kern w:val="0"/>
              </w:rPr>
              <w:t>4.户口本首页及个人页</w:t>
            </w:r>
          </w:p>
        </w:tc>
        <w:tc>
          <w:tcPr>
            <w:tcW w:w="805" w:type="dxa"/>
            <w:tcBorders>
              <w:top w:val="single" w:sz="4" w:space="0" w:color="000080"/>
              <w:left w:val="single" w:sz="4" w:space="0" w:color="000080"/>
              <w:bottom w:val="single" w:sz="4" w:space="0" w:color="000080"/>
              <w:right w:val="single" w:sz="4" w:space="0" w:color="000080"/>
            </w:tcBorders>
            <w:shd w:val="clear" w:color="auto" w:fill="92D050"/>
            <w:vAlign w:val="center"/>
          </w:tcPr>
          <w:p w:rsidR="00E37845" w:rsidRDefault="00E22BDD">
            <w:pPr>
              <w:widowControl/>
              <w:adjustRightInd w:val="0"/>
              <w:snapToGrid w:val="0"/>
              <w:jc w:val="center"/>
              <w:textAlignment w:val="center"/>
              <w:rPr>
                <w:rFonts w:ascii="黑体" w:eastAsia="黑体" w:hAnsi="黑体" w:cs="黑体"/>
                <w:color w:val="000000" w:themeColor="text1"/>
              </w:rPr>
            </w:pPr>
            <w:r>
              <w:rPr>
                <w:rFonts w:ascii="黑体" w:eastAsia="黑体" w:hAnsi="黑体" w:cs="黑体" w:hint="eastAsia"/>
                <w:color w:val="000000" w:themeColor="text1"/>
                <w:kern w:val="0"/>
              </w:rPr>
              <w:t>5.体检报告</w:t>
            </w:r>
          </w:p>
        </w:tc>
        <w:tc>
          <w:tcPr>
            <w:tcW w:w="873" w:type="dxa"/>
            <w:tcBorders>
              <w:top w:val="single" w:sz="4" w:space="0" w:color="000080"/>
              <w:left w:val="single" w:sz="4" w:space="0" w:color="000080"/>
              <w:bottom w:val="single" w:sz="4" w:space="0" w:color="000080"/>
              <w:right w:val="single" w:sz="4" w:space="0" w:color="000080"/>
            </w:tcBorders>
            <w:shd w:val="clear" w:color="auto" w:fill="FFFF00"/>
            <w:vAlign w:val="center"/>
          </w:tcPr>
          <w:p w:rsidR="00E37845" w:rsidRDefault="00E22BDD">
            <w:pPr>
              <w:widowControl/>
              <w:adjustRightInd w:val="0"/>
              <w:snapToGrid w:val="0"/>
              <w:jc w:val="center"/>
              <w:textAlignment w:val="center"/>
              <w:rPr>
                <w:rFonts w:ascii="黑体" w:eastAsia="黑体" w:hAnsi="黑体" w:cs="黑体"/>
                <w:color w:val="000000" w:themeColor="text1"/>
              </w:rPr>
            </w:pPr>
            <w:r>
              <w:rPr>
                <w:rFonts w:ascii="黑体" w:eastAsia="黑体" w:hAnsi="黑体" w:cs="黑体" w:hint="eastAsia"/>
                <w:color w:val="000000" w:themeColor="text1"/>
                <w:kern w:val="0"/>
              </w:rPr>
              <w:t>6.最高学历证</w:t>
            </w:r>
          </w:p>
        </w:tc>
        <w:tc>
          <w:tcPr>
            <w:tcW w:w="831" w:type="dxa"/>
            <w:tcBorders>
              <w:top w:val="single" w:sz="4" w:space="0" w:color="000080"/>
              <w:left w:val="single" w:sz="4" w:space="0" w:color="000080"/>
              <w:bottom w:val="single" w:sz="4" w:space="0" w:color="000080"/>
              <w:right w:val="single" w:sz="4" w:space="0" w:color="000080"/>
            </w:tcBorders>
            <w:shd w:val="clear" w:color="auto" w:fill="FFFF00"/>
            <w:vAlign w:val="center"/>
          </w:tcPr>
          <w:p w:rsidR="00E37845" w:rsidRDefault="00E22BDD">
            <w:pPr>
              <w:widowControl/>
              <w:adjustRightInd w:val="0"/>
              <w:snapToGrid w:val="0"/>
              <w:jc w:val="center"/>
              <w:textAlignment w:val="center"/>
              <w:rPr>
                <w:rFonts w:ascii="黑体" w:eastAsia="黑体" w:hAnsi="黑体" w:cs="黑体"/>
                <w:color w:val="000000" w:themeColor="text1"/>
              </w:rPr>
            </w:pPr>
            <w:r>
              <w:rPr>
                <w:rFonts w:ascii="黑体" w:eastAsia="黑体" w:hAnsi="黑体" w:cs="黑体" w:hint="eastAsia"/>
                <w:color w:val="000000" w:themeColor="text1"/>
                <w:kern w:val="0"/>
              </w:rPr>
              <w:t>7.最高学位证</w:t>
            </w:r>
          </w:p>
        </w:tc>
        <w:tc>
          <w:tcPr>
            <w:tcW w:w="791" w:type="dxa"/>
            <w:tcBorders>
              <w:top w:val="single" w:sz="4" w:space="0" w:color="000080"/>
              <w:left w:val="single" w:sz="4" w:space="0" w:color="000080"/>
              <w:bottom w:val="single" w:sz="4" w:space="0" w:color="000080"/>
              <w:right w:val="single" w:sz="4" w:space="0" w:color="000080"/>
            </w:tcBorders>
            <w:shd w:val="clear" w:color="auto" w:fill="FFFF00"/>
            <w:vAlign w:val="center"/>
          </w:tcPr>
          <w:p w:rsidR="00E37845" w:rsidRDefault="00E22BDD">
            <w:pPr>
              <w:widowControl/>
              <w:adjustRightInd w:val="0"/>
              <w:snapToGrid w:val="0"/>
              <w:jc w:val="center"/>
              <w:textAlignment w:val="center"/>
              <w:rPr>
                <w:rFonts w:ascii="黑体" w:eastAsia="黑体" w:hAnsi="黑体" w:cs="黑体"/>
                <w:color w:val="000000" w:themeColor="text1"/>
              </w:rPr>
            </w:pPr>
            <w:r>
              <w:rPr>
                <w:rFonts w:ascii="黑体" w:eastAsia="黑体" w:hAnsi="黑体" w:cs="黑体" w:hint="eastAsia"/>
                <w:color w:val="000000" w:themeColor="text1"/>
                <w:kern w:val="0"/>
              </w:rPr>
              <w:t>8.博士后证</w:t>
            </w:r>
          </w:p>
        </w:tc>
        <w:tc>
          <w:tcPr>
            <w:tcW w:w="887" w:type="dxa"/>
            <w:tcBorders>
              <w:top w:val="single" w:sz="4" w:space="0" w:color="000080"/>
              <w:left w:val="single" w:sz="4" w:space="0" w:color="000080"/>
              <w:bottom w:val="single" w:sz="4" w:space="0" w:color="000080"/>
              <w:right w:val="single" w:sz="4" w:space="0" w:color="000080"/>
            </w:tcBorders>
            <w:shd w:val="clear" w:color="auto" w:fill="FFFF00"/>
            <w:vAlign w:val="center"/>
          </w:tcPr>
          <w:p w:rsidR="00E37845" w:rsidRDefault="00E22BDD">
            <w:pPr>
              <w:widowControl/>
              <w:adjustRightInd w:val="0"/>
              <w:snapToGrid w:val="0"/>
              <w:jc w:val="center"/>
              <w:textAlignment w:val="center"/>
              <w:rPr>
                <w:rFonts w:ascii="黑体" w:eastAsia="黑体" w:hAnsi="黑体" w:cs="黑体"/>
                <w:color w:val="000000" w:themeColor="text1"/>
              </w:rPr>
            </w:pPr>
            <w:r>
              <w:rPr>
                <w:rFonts w:ascii="黑体" w:eastAsia="黑体" w:hAnsi="黑体" w:cs="黑体" w:hint="eastAsia"/>
                <w:color w:val="000000" w:themeColor="text1"/>
                <w:kern w:val="0"/>
              </w:rPr>
              <w:t>9.正高职称证或相关证明</w:t>
            </w:r>
          </w:p>
        </w:tc>
        <w:tc>
          <w:tcPr>
            <w:tcW w:w="913" w:type="dxa"/>
            <w:tcBorders>
              <w:top w:val="single" w:sz="4" w:space="0" w:color="000080"/>
              <w:left w:val="single" w:sz="4" w:space="0" w:color="000080"/>
              <w:bottom w:val="single" w:sz="4" w:space="0" w:color="000080"/>
              <w:right w:val="single" w:sz="4" w:space="0" w:color="000080"/>
            </w:tcBorders>
            <w:shd w:val="clear" w:color="auto" w:fill="FFFF00"/>
            <w:vAlign w:val="center"/>
          </w:tcPr>
          <w:p w:rsidR="00E37845" w:rsidRDefault="00E22BDD">
            <w:pPr>
              <w:widowControl/>
              <w:adjustRightInd w:val="0"/>
              <w:snapToGrid w:val="0"/>
              <w:jc w:val="center"/>
              <w:textAlignment w:val="center"/>
              <w:rPr>
                <w:rFonts w:ascii="黑体" w:eastAsia="黑体" w:hAnsi="黑体" w:cs="黑体"/>
                <w:color w:val="000000" w:themeColor="text1"/>
              </w:rPr>
            </w:pPr>
            <w:r>
              <w:rPr>
                <w:rFonts w:ascii="黑体" w:eastAsia="黑体" w:hAnsi="黑体" w:cs="黑体" w:hint="eastAsia"/>
                <w:color w:val="000000" w:themeColor="text1"/>
                <w:kern w:val="0"/>
              </w:rPr>
              <w:t>10.高层次考察表</w:t>
            </w:r>
          </w:p>
        </w:tc>
        <w:tc>
          <w:tcPr>
            <w:tcW w:w="887" w:type="dxa"/>
            <w:tcBorders>
              <w:top w:val="single" w:sz="4" w:space="0" w:color="000080"/>
              <w:left w:val="single" w:sz="4" w:space="0" w:color="000080"/>
              <w:bottom w:val="single" w:sz="4" w:space="0" w:color="000080"/>
              <w:right w:val="single" w:sz="4" w:space="0" w:color="000080"/>
            </w:tcBorders>
            <w:shd w:val="clear" w:color="auto" w:fill="FFFF00"/>
            <w:vAlign w:val="center"/>
          </w:tcPr>
          <w:p w:rsidR="00E37845" w:rsidRDefault="00E22BDD">
            <w:pPr>
              <w:widowControl/>
              <w:adjustRightInd w:val="0"/>
              <w:snapToGrid w:val="0"/>
              <w:jc w:val="center"/>
              <w:textAlignment w:val="center"/>
              <w:rPr>
                <w:rFonts w:ascii="黑体" w:eastAsia="黑体" w:hAnsi="黑体" w:cs="黑体"/>
                <w:color w:val="000000" w:themeColor="text1"/>
              </w:rPr>
            </w:pPr>
            <w:r>
              <w:rPr>
                <w:rFonts w:ascii="黑体" w:eastAsia="黑体" w:hAnsi="黑体" w:cs="黑体" w:hint="eastAsia"/>
                <w:color w:val="000000" w:themeColor="text1"/>
                <w:kern w:val="0"/>
              </w:rPr>
              <w:t>11.情况说明表</w:t>
            </w:r>
          </w:p>
        </w:tc>
        <w:tc>
          <w:tcPr>
            <w:tcW w:w="900" w:type="dxa"/>
            <w:tcBorders>
              <w:top w:val="single" w:sz="4" w:space="0" w:color="000080"/>
              <w:left w:val="single" w:sz="4" w:space="0" w:color="000080"/>
              <w:bottom w:val="single" w:sz="4" w:space="0" w:color="000080"/>
              <w:right w:val="single" w:sz="4" w:space="0" w:color="000080"/>
            </w:tcBorders>
            <w:shd w:val="clear" w:color="auto" w:fill="70AD47" w:themeFill="accent6"/>
            <w:vAlign w:val="center"/>
          </w:tcPr>
          <w:p w:rsidR="00E37845" w:rsidRDefault="00E22BDD">
            <w:pPr>
              <w:widowControl/>
              <w:adjustRightInd w:val="0"/>
              <w:snapToGrid w:val="0"/>
              <w:jc w:val="center"/>
              <w:textAlignment w:val="center"/>
              <w:rPr>
                <w:rFonts w:ascii="黑体" w:eastAsia="黑体" w:hAnsi="黑体" w:cs="黑体"/>
                <w:color w:val="000000" w:themeColor="text1"/>
              </w:rPr>
            </w:pPr>
            <w:r>
              <w:rPr>
                <w:rFonts w:ascii="黑体" w:eastAsia="黑体" w:hAnsi="黑体" w:cs="黑体" w:hint="eastAsia"/>
                <w:color w:val="000000" w:themeColor="text1"/>
                <w:kern w:val="0"/>
              </w:rPr>
              <w:t>12.论文检索报告</w:t>
            </w:r>
          </w:p>
        </w:tc>
        <w:tc>
          <w:tcPr>
            <w:tcW w:w="968" w:type="dxa"/>
            <w:tcBorders>
              <w:top w:val="single" w:sz="4" w:space="0" w:color="000080"/>
              <w:left w:val="single" w:sz="4" w:space="0" w:color="000080"/>
              <w:bottom w:val="single" w:sz="4" w:space="0" w:color="000080"/>
              <w:right w:val="single" w:sz="4" w:space="0" w:color="000080"/>
            </w:tcBorders>
            <w:shd w:val="clear" w:color="auto" w:fill="FFFF00"/>
            <w:vAlign w:val="center"/>
          </w:tcPr>
          <w:p w:rsidR="00E37845" w:rsidRDefault="00E22BDD">
            <w:pPr>
              <w:widowControl/>
              <w:adjustRightInd w:val="0"/>
              <w:snapToGrid w:val="0"/>
              <w:jc w:val="center"/>
              <w:textAlignment w:val="center"/>
              <w:rPr>
                <w:rFonts w:ascii="黑体" w:eastAsia="黑体" w:hAnsi="黑体" w:cs="黑体"/>
                <w:color w:val="000000" w:themeColor="text1"/>
              </w:rPr>
            </w:pPr>
            <w:r>
              <w:rPr>
                <w:rFonts w:ascii="黑体" w:eastAsia="黑体" w:hAnsi="黑体" w:cs="黑体" w:hint="eastAsia"/>
                <w:color w:val="000000" w:themeColor="text1"/>
                <w:kern w:val="0"/>
              </w:rPr>
              <w:t>13.最高学历证认证</w:t>
            </w:r>
          </w:p>
        </w:tc>
        <w:tc>
          <w:tcPr>
            <w:tcW w:w="791" w:type="dxa"/>
            <w:tcBorders>
              <w:top w:val="single" w:sz="4" w:space="0" w:color="000080"/>
              <w:left w:val="single" w:sz="4" w:space="0" w:color="000080"/>
              <w:bottom w:val="single" w:sz="4" w:space="0" w:color="000080"/>
              <w:right w:val="single" w:sz="4" w:space="0" w:color="000080"/>
            </w:tcBorders>
            <w:shd w:val="clear" w:color="auto" w:fill="FFFF00"/>
            <w:vAlign w:val="center"/>
          </w:tcPr>
          <w:p w:rsidR="00E37845" w:rsidRDefault="00E22BDD">
            <w:pPr>
              <w:widowControl/>
              <w:adjustRightInd w:val="0"/>
              <w:snapToGrid w:val="0"/>
              <w:jc w:val="center"/>
              <w:textAlignment w:val="center"/>
              <w:rPr>
                <w:rFonts w:ascii="黑体" w:eastAsia="黑体" w:hAnsi="黑体" w:cs="黑体"/>
                <w:color w:val="000000" w:themeColor="text1"/>
              </w:rPr>
            </w:pPr>
            <w:r>
              <w:rPr>
                <w:rFonts w:ascii="黑体" w:eastAsia="黑体" w:hAnsi="黑体" w:cs="黑体" w:hint="eastAsia"/>
                <w:color w:val="000000" w:themeColor="text1"/>
                <w:kern w:val="0"/>
              </w:rPr>
              <w:t>14.最高学位证认证</w:t>
            </w:r>
          </w:p>
        </w:tc>
        <w:tc>
          <w:tcPr>
            <w:tcW w:w="832" w:type="dxa"/>
            <w:tcBorders>
              <w:top w:val="single" w:sz="4" w:space="0" w:color="000080"/>
              <w:left w:val="single" w:sz="4" w:space="0" w:color="000080"/>
              <w:bottom w:val="single" w:sz="4" w:space="0" w:color="000080"/>
              <w:right w:val="single" w:sz="4" w:space="0" w:color="000080"/>
            </w:tcBorders>
            <w:shd w:val="clear" w:color="auto" w:fill="FFFF00"/>
            <w:vAlign w:val="center"/>
          </w:tcPr>
          <w:p w:rsidR="00E37845" w:rsidRDefault="00E22BDD">
            <w:pPr>
              <w:widowControl/>
              <w:adjustRightInd w:val="0"/>
              <w:snapToGrid w:val="0"/>
              <w:jc w:val="center"/>
              <w:textAlignment w:val="center"/>
              <w:rPr>
                <w:rFonts w:ascii="黑体" w:eastAsia="黑体" w:hAnsi="黑体" w:cs="黑体"/>
                <w:color w:val="000000" w:themeColor="text1"/>
              </w:rPr>
            </w:pPr>
            <w:r>
              <w:rPr>
                <w:rFonts w:ascii="黑体" w:eastAsia="黑体" w:hAnsi="黑体" w:cs="黑体" w:hint="eastAsia"/>
                <w:color w:val="000000" w:themeColor="text1"/>
                <w:kern w:val="0"/>
              </w:rPr>
              <w:t>15.报到证</w:t>
            </w:r>
          </w:p>
        </w:tc>
        <w:tc>
          <w:tcPr>
            <w:tcW w:w="913" w:type="dxa"/>
            <w:tcBorders>
              <w:top w:val="single" w:sz="4" w:space="0" w:color="000080"/>
              <w:left w:val="single" w:sz="4" w:space="0" w:color="000080"/>
              <w:bottom w:val="single" w:sz="4" w:space="0" w:color="000080"/>
              <w:right w:val="single" w:sz="4" w:space="0" w:color="000080"/>
            </w:tcBorders>
            <w:shd w:val="clear" w:color="auto" w:fill="FFFF00"/>
            <w:vAlign w:val="center"/>
          </w:tcPr>
          <w:p w:rsidR="00E37845" w:rsidRDefault="00E22BDD">
            <w:pPr>
              <w:widowControl/>
              <w:adjustRightInd w:val="0"/>
              <w:snapToGrid w:val="0"/>
              <w:jc w:val="center"/>
              <w:textAlignment w:val="center"/>
              <w:rPr>
                <w:rFonts w:ascii="黑体" w:eastAsia="黑体" w:hAnsi="黑体" w:cs="黑体"/>
                <w:color w:val="000000" w:themeColor="text1"/>
              </w:rPr>
            </w:pPr>
            <w:r>
              <w:rPr>
                <w:rFonts w:ascii="黑体" w:eastAsia="黑体" w:hAnsi="黑体" w:cs="黑体" w:hint="eastAsia"/>
                <w:color w:val="000000" w:themeColor="text1"/>
                <w:kern w:val="0"/>
              </w:rPr>
              <w:t>16.结婚证首页及主页</w:t>
            </w:r>
          </w:p>
        </w:tc>
      </w:tr>
      <w:tr w:rsidR="00E37845">
        <w:trPr>
          <w:trHeight w:val="680"/>
          <w:jc w:val="center"/>
        </w:trPr>
        <w:tc>
          <w:tcPr>
            <w:tcW w:w="922"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line="240" w:lineRule="exact"/>
              <w:jc w:val="center"/>
              <w:textAlignment w:val="center"/>
              <w:rPr>
                <w:rFonts w:ascii="仿宋_GB2312" w:eastAsia="仿宋_GB2312" w:hAnsi="仿宋_GB2312" w:cs="仿宋_GB2312"/>
                <w:color w:val="000000" w:themeColor="text1"/>
              </w:rPr>
            </w:pPr>
            <w:r>
              <w:rPr>
                <w:rFonts w:ascii="仿宋_GB2312" w:eastAsia="仿宋_GB2312" w:hAnsi="仿宋_GB2312" w:cs="仿宋_GB2312"/>
                <w:color w:val="000000" w:themeColor="text1"/>
                <w:kern w:val="0"/>
              </w:rPr>
              <w:t>1.境内应届</w:t>
            </w:r>
          </w:p>
        </w:tc>
        <w:tc>
          <w:tcPr>
            <w:tcW w:w="763"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690"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900"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900"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805" w:type="dxa"/>
            <w:tcBorders>
              <w:top w:val="single" w:sz="4" w:space="0" w:color="000080"/>
              <w:left w:val="single" w:sz="4" w:space="0" w:color="000080"/>
              <w:bottom w:val="single" w:sz="4" w:space="0" w:color="000080"/>
              <w:right w:val="single" w:sz="4" w:space="0" w:color="000080"/>
            </w:tcBorders>
            <w:shd w:val="clear" w:color="auto" w:fill="92D050"/>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873"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831"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791"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887"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913"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887"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900" w:type="dxa"/>
            <w:tcBorders>
              <w:top w:val="single" w:sz="4" w:space="0" w:color="000080"/>
              <w:left w:val="single" w:sz="4" w:space="0" w:color="000080"/>
              <w:bottom w:val="single" w:sz="4" w:space="0" w:color="000080"/>
              <w:right w:val="single" w:sz="4" w:space="0" w:color="000080"/>
            </w:tcBorders>
            <w:shd w:val="clear" w:color="auto" w:fill="70AD47" w:themeFill="accent6"/>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968"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791"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832"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913"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r>
      <w:tr w:rsidR="00E37845">
        <w:trPr>
          <w:trHeight w:val="680"/>
          <w:jc w:val="center"/>
        </w:trPr>
        <w:tc>
          <w:tcPr>
            <w:tcW w:w="922"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line="240" w:lineRule="exact"/>
              <w:jc w:val="center"/>
              <w:textAlignment w:val="center"/>
              <w:rPr>
                <w:rFonts w:ascii="仿宋_GB2312" w:eastAsia="仿宋_GB2312" w:hAnsi="仿宋_GB2312" w:cs="仿宋_GB2312"/>
                <w:color w:val="000000" w:themeColor="text1"/>
              </w:rPr>
            </w:pPr>
            <w:r>
              <w:rPr>
                <w:rFonts w:ascii="仿宋_GB2312" w:eastAsia="仿宋_GB2312" w:hAnsi="仿宋_GB2312" w:cs="仿宋_GB2312"/>
                <w:color w:val="000000" w:themeColor="text1"/>
                <w:kern w:val="0"/>
              </w:rPr>
              <w:t>2.在职调动或海外应届</w:t>
            </w:r>
          </w:p>
        </w:tc>
        <w:tc>
          <w:tcPr>
            <w:tcW w:w="763"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690"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900"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900"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805" w:type="dxa"/>
            <w:tcBorders>
              <w:top w:val="single" w:sz="4" w:space="0" w:color="000080"/>
              <w:left w:val="single" w:sz="4" w:space="0" w:color="000080"/>
              <w:bottom w:val="single" w:sz="4" w:space="0" w:color="000080"/>
              <w:right w:val="single" w:sz="4" w:space="0" w:color="000080"/>
            </w:tcBorders>
            <w:shd w:val="clear" w:color="auto" w:fill="92D050"/>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873"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831"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791"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887"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913"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887"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900" w:type="dxa"/>
            <w:tcBorders>
              <w:top w:val="single" w:sz="4" w:space="0" w:color="000080"/>
              <w:left w:val="single" w:sz="4" w:space="0" w:color="000080"/>
              <w:bottom w:val="single" w:sz="4" w:space="0" w:color="000080"/>
              <w:right w:val="single" w:sz="4" w:space="0" w:color="000080"/>
            </w:tcBorders>
            <w:shd w:val="clear" w:color="auto" w:fill="70AD47" w:themeFill="accent6"/>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968"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791"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832"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913"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r>
      <w:tr w:rsidR="00E37845">
        <w:trPr>
          <w:trHeight w:val="680"/>
          <w:jc w:val="center"/>
        </w:trPr>
        <w:tc>
          <w:tcPr>
            <w:tcW w:w="922"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line="240" w:lineRule="exact"/>
              <w:jc w:val="center"/>
              <w:textAlignment w:val="center"/>
              <w:rPr>
                <w:rFonts w:ascii="仿宋_GB2312" w:eastAsia="仿宋_GB2312" w:hAnsi="仿宋_GB2312" w:cs="仿宋_GB2312"/>
                <w:color w:val="000000" w:themeColor="text1"/>
              </w:rPr>
            </w:pPr>
            <w:r>
              <w:rPr>
                <w:rFonts w:ascii="仿宋_GB2312" w:eastAsia="仿宋_GB2312" w:hAnsi="仿宋_GB2312" w:cs="仿宋_GB2312"/>
                <w:color w:val="000000" w:themeColor="text1"/>
                <w:kern w:val="0"/>
              </w:rPr>
              <w:t>3.境内博后</w:t>
            </w:r>
          </w:p>
        </w:tc>
        <w:tc>
          <w:tcPr>
            <w:tcW w:w="763"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690"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900"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900"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805" w:type="dxa"/>
            <w:tcBorders>
              <w:top w:val="single" w:sz="4" w:space="0" w:color="000080"/>
              <w:left w:val="single" w:sz="4" w:space="0" w:color="000080"/>
              <w:bottom w:val="single" w:sz="4" w:space="0" w:color="000080"/>
              <w:right w:val="single" w:sz="4" w:space="0" w:color="000080"/>
            </w:tcBorders>
            <w:shd w:val="clear" w:color="auto" w:fill="92D050"/>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873"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831"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791"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887"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913"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887"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900" w:type="dxa"/>
            <w:tcBorders>
              <w:top w:val="single" w:sz="4" w:space="0" w:color="000080"/>
              <w:left w:val="single" w:sz="4" w:space="0" w:color="000080"/>
              <w:bottom w:val="single" w:sz="4" w:space="0" w:color="000080"/>
              <w:right w:val="single" w:sz="4" w:space="0" w:color="000080"/>
            </w:tcBorders>
            <w:shd w:val="clear" w:color="auto" w:fill="70AD47" w:themeFill="accent6"/>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968"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791"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832"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913"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r>
      <w:tr w:rsidR="00E37845">
        <w:trPr>
          <w:trHeight w:val="680"/>
          <w:jc w:val="center"/>
        </w:trPr>
        <w:tc>
          <w:tcPr>
            <w:tcW w:w="922"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line="240" w:lineRule="exact"/>
              <w:jc w:val="center"/>
              <w:textAlignment w:val="center"/>
              <w:rPr>
                <w:rFonts w:ascii="仿宋_GB2312" w:eastAsia="仿宋_GB2312" w:hAnsi="仿宋_GB2312" w:cs="仿宋_GB2312"/>
                <w:color w:val="000000" w:themeColor="text1"/>
              </w:rPr>
            </w:pPr>
            <w:r>
              <w:rPr>
                <w:rFonts w:ascii="仿宋_GB2312" w:eastAsia="仿宋_GB2312" w:hAnsi="仿宋_GB2312" w:cs="仿宋_GB2312"/>
                <w:color w:val="000000" w:themeColor="text1"/>
                <w:kern w:val="0"/>
              </w:rPr>
              <w:t>4.境内正高</w:t>
            </w:r>
          </w:p>
        </w:tc>
        <w:tc>
          <w:tcPr>
            <w:tcW w:w="763"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690"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900"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900"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805" w:type="dxa"/>
            <w:tcBorders>
              <w:top w:val="single" w:sz="4" w:space="0" w:color="000080"/>
              <w:left w:val="single" w:sz="4" w:space="0" w:color="000080"/>
              <w:bottom w:val="single" w:sz="4" w:space="0" w:color="000080"/>
              <w:right w:val="single" w:sz="4" w:space="0" w:color="000080"/>
            </w:tcBorders>
            <w:shd w:val="clear" w:color="auto" w:fill="92D050"/>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873" w:type="dxa"/>
            <w:tcBorders>
              <w:top w:val="single" w:sz="4" w:space="0" w:color="000080"/>
              <w:left w:val="single" w:sz="4" w:space="0" w:color="000080"/>
              <w:bottom w:val="single" w:sz="4" w:space="0" w:color="000080"/>
              <w:right w:val="single" w:sz="4" w:space="0" w:color="000080"/>
            </w:tcBorders>
            <w:shd w:val="clear" w:color="auto" w:fill="FFFF00"/>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831" w:type="dxa"/>
            <w:tcBorders>
              <w:top w:val="single" w:sz="4" w:space="0" w:color="000080"/>
              <w:left w:val="single" w:sz="4" w:space="0" w:color="000080"/>
              <w:bottom w:val="single" w:sz="4" w:space="0" w:color="000080"/>
              <w:right w:val="single" w:sz="4" w:space="0" w:color="000080"/>
            </w:tcBorders>
            <w:shd w:val="clear" w:color="auto" w:fill="FFFF00"/>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791" w:type="dxa"/>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887" w:type="dxa"/>
            <w:tcBorders>
              <w:top w:val="single" w:sz="4" w:space="0" w:color="000080"/>
              <w:left w:val="single" w:sz="4" w:space="0" w:color="000080"/>
              <w:bottom w:val="single" w:sz="4" w:space="0" w:color="000080"/>
              <w:right w:val="single" w:sz="4" w:space="0" w:color="000080"/>
            </w:tcBorders>
            <w:shd w:val="clear" w:color="auto" w:fill="FFFF00"/>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913" w:type="dxa"/>
            <w:tcBorders>
              <w:top w:val="single" w:sz="4" w:space="0" w:color="000080"/>
              <w:left w:val="single" w:sz="4" w:space="0" w:color="000080"/>
              <w:bottom w:val="single" w:sz="4" w:space="0" w:color="000080"/>
              <w:right w:val="single" w:sz="4" w:space="0" w:color="000080"/>
            </w:tcBorders>
            <w:shd w:val="clear" w:color="auto" w:fill="FFFF00"/>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887"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900" w:type="dxa"/>
            <w:tcBorders>
              <w:top w:val="single" w:sz="4" w:space="0" w:color="000080"/>
              <w:left w:val="single" w:sz="4" w:space="0" w:color="000080"/>
              <w:bottom w:val="single" w:sz="4" w:space="0" w:color="000080"/>
              <w:right w:val="single" w:sz="4" w:space="0" w:color="000080"/>
            </w:tcBorders>
            <w:shd w:val="clear" w:color="auto" w:fill="70AD47" w:themeFill="accent6"/>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968"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791"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832"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913"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r>
      <w:tr w:rsidR="00E37845">
        <w:trPr>
          <w:trHeight w:val="680"/>
          <w:jc w:val="center"/>
        </w:trPr>
        <w:tc>
          <w:tcPr>
            <w:tcW w:w="922"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line="240" w:lineRule="exact"/>
              <w:jc w:val="center"/>
              <w:textAlignment w:val="center"/>
              <w:rPr>
                <w:rFonts w:ascii="仿宋_GB2312" w:eastAsia="仿宋_GB2312" w:hAnsi="仿宋_GB2312" w:cs="仿宋_GB2312"/>
                <w:color w:val="000000" w:themeColor="text1"/>
              </w:rPr>
            </w:pPr>
            <w:r>
              <w:rPr>
                <w:rFonts w:ascii="仿宋_GB2312" w:eastAsia="仿宋_GB2312" w:hAnsi="仿宋_GB2312" w:cs="仿宋_GB2312"/>
                <w:color w:val="000000" w:themeColor="text1"/>
                <w:kern w:val="0"/>
              </w:rPr>
              <w:t>5.随调配偶</w:t>
            </w:r>
          </w:p>
        </w:tc>
        <w:tc>
          <w:tcPr>
            <w:tcW w:w="763"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690"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900"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900"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805" w:type="dxa"/>
            <w:tcBorders>
              <w:top w:val="single" w:sz="4" w:space="0" w:color="000080"/>
              <w:left w:val="single" w:sz="4" w:space="0" w:color="000080"/>
              <w:bottom w:val="single" w:sz="4" w:space="0" w:color="000080"/>
              <w:right w:val="single" w:sz="4" w:space="0" w:color="000080"/>
            </w:tcBorders>
            <w:shd w:val="clear" w:color="auto" w:fill="92D050"/>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873"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831"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c>
          <w:tcPr>
            <w:tcW w:w="791"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887"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913"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887"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900" w:type="dxa"/>
            <w:tcBorders>
              <w:top w:val="single" w:sz="4" w:space="0" w:color="000080"/>
              <w:left w:val="single" w:sz="4" w:space="0" w:color="000080"/>
              <w:bottom w:val="single" w:sz="4" w:space="0" w:color="000080"/>
              <w:right w:val="single" w:sz="4" w:space="0" w:color="000080"/>
            </w:tcBorders>
            <w:shd w:val="clear" w:color="auto" w:fill="70AD47" w:themeFill="accent6"/>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968"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791"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832"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37845">
            <w:pPr>
              <w:adjustRightInd w:val="0"/>
              <w:snapToGrid w:val="0"/>
              <w:spacing w:beforeLines="50" w:before="156" w:line="360" w:lineRule="auto"/>
              <w:ind w:firstLineChars="200" w:firstLine="420"/>
              <w:jc w:val="center"/>
              <w:rPr>
                <w:rFonts w:ascii="仿宋_GB2312" w:eastAsia="仿宋_GB2312" w:hAnsi="仿宋_GB2312" w:cs="仿宋_GB2312"/>
                <w:color w:val="000000" w:themeColor="text1"/>
              </w:rPr>
            </w:pPr>
          </w:p>
        </w:tc>
        <w:tc>
          <w:tcPr>
            <w:tcW w:w="913"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beforeLines="50" w:before="156" w:line="360" w:lineRule="auto"/>
              <w:ind w:firstLineChars="200" w:firstLine="420"/>
              <w:jc w:val="center"/>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0"/>
              </w:rPr>
              <w:t>√</w:t>
            </w:r>
          </w:p>
        </w:tc>
      </w:tr>
      <w:tr w:rsidR="00E37845">
        <w:trPr>
          <w:trHeight w:val="680"/>
          <w:jc w:val="center"/>
        </w:trPr>
        <w:tc>
          <w:tcPr>
            <w:tcW w:w="922" w:type="dxa"/>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line="360" w:lineRule="auto"/>
              <w:jc w:val="center"/>
              <w:textAlignment w:val="center"/>
              <w:rPr>
                <w:rFonts w:ascii="仿宋_GB2312" w:eastAsia="仿宋_GB2312" w:hAnsi="仿宋_GB2312" w:cs="仿宋_GB2312"/>
                <w:color w:val="000000" w:themeColor="text1"/>
              </w:rPr>
            </w:pPr>
            <w:r>
              <w:rPr>
                <w:rFonts w:ascii="黑体" w:eastAsia="黑体" w:hAnsi="黑体" w:cs="黑体" w:hint="eastAsia"/>
                <w:color w:val="000000" w:themeColor="text1"/>
                <w:kern w:val="0"/>
              </w:rPr>
              <w:t>备注</w:t>
            </w:r>
          </w:p>
        </w:tc>
        <w:tc>
          <w:tcPr>
            <w:tcW w:w="13644" w:type="dxa"/>
            <w:gridSpan w:val="16"/>
            <w:tcBorders>
              <w:top w:val="single" w:sz="4" w:space="0" w:color="000080"/>
              <w:left w:val="single" w:sz="4" w:space="0" w:color="000080"/>
              <w:bottom w:val="single" w:sz="4" w:space="0" w:color="000080"/>
              <w:right w:val="single" w:sz="4" w:space="0" w:color="000080"/>
            </w:tcBorders>
            <w:shd w:val="clear" w:color="auto" w:fill="auto"/>
            <w:vAlign w:val="center"/>
          </w:tcPr>
          <w:p w:rsidR="00E37845" w:rsidRDefault="00E22BDD">
            <w:pPr>
              <w:widowControl/>
              <w:adjustRightInd w:val="0"/>
              <w:snapToGrid w:val="0"/>
              <w:spacing w:line="300" w:lineRule="exact"/>
              <w:ind w:firstLineChars="200" w:firstLine="376"/>
              <w:jc w:val="left"/>
              <w:textAlignment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spacing w:val="-11"/>
                <w:kern w:val="0"/>
              </w:rPr>
              <w:t>打钩的是必须提供的材料；海外应届生可暂不提供报到证，但需凭留学回国人员报到证到人事科</w:t>
            </w:r>
            <w:r>
              <w:rPr>
                <w:rFonts w:ascii="仿宋_GB2312" w:eastAsia="仿宋_GB2312" w:hAnsi="仿宋_GB2312" w:cs="仿宋_GB2312"/>
                <w:color w:val="000000" w:themeColor="text1"/>
                <w:spacing w:val="-11"/>
                <w:kern w:val="0"/>
              </w:rPr>
              <w:t>405张老师处报到；体检报告无需个人提供，未体检的可到人事处414室找李技巧老师开体检介绍信；高层次考察表需同时提供word版和所在学院签字盖章后纸质版；情况说明需严格按照指定模板填写，内容最好与检索证明一致；检索证明建议携带身份证和电子版论文清单自行前往广大图书馆检索，如面试时提交过且合格的则无需再提供（</w:t>
            </w:r>
            <w:r>
              <w:rPr>
                <w:rFonts w:ascii="仿宋_GB2312" w:eastAsia="仿宋_GB2312" w:hAnsi="仿宋_GB2312" w:cs="仿宋_GB2312" w:hint="eastAsia"/>
                <w:color w:val="000000" w:themeColor="text1"/>
                <w:spacing w:val="-11"/>
                <w:kern w:val="0"/>
              </w:rPr>
              <w:t>学术团队成员无需提供情况说明和检索证明）；市内事业单位之间流动人员需提供原单位增人卡及事业单位录用审批表。所有材料除填表外（表格请严格按照规范填写），都必须发</w:t>
            </w:r>
            <w:r>
              <w:rPr>
                <w:rFonts w:ascii="仿宋_GB2312" w:eastAsia="仿宋_GB2312" w:hAnsi="仿宋_GB2312" w:cs="仿宋_GB2312"/>
                <w:color w:val="000000" w:themeColor="text1"/>
                <w:spacing w:val="-11"/>
                <w:kern w:val="0"/>
              </w:rPr>
              <w:t>jpg格式图片（检索证明如页码较多可发pdf），每张图片需保持页面清晰摆正，命名好且大小不超过500k，备齐后请发送人事处招聘邮箱：gdzp@gzhu.edu.cn，相关表格模板均可在人事处官网下载，如有疑问可拨打020-39366207咨询邱老师，谢谢！</w:t>
            </w:r>
          </w:p>
        </w:tc>
      </w:tr>
    </w:tbl>
    <w:p w:rsidR="00E37845" w:rsidRDefault="00E37845">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sectPr w:rsidR="00E37845">
          <w:pgSz w:w="16838" w:h="11906" w:orient="landscape"/>
          <w:pgMar w:top="1800" w:right="1440" w:bottom="1800" w:left="1440" w:header="851" w:footer="992" w:gutter="0"/>
          <w:cols w:space="425"/>
          <w:docGrid w:type="lines" w:linePitch="312"/>
        </w:sectPr>
      </w:pPr>
      <w:r>
        <w:rPr>
          <w:rFonts w:ascii="仿宋_GB2312" w:eastAsia="仿宋_GB2312" w:hAnsi="仿宋_GB2312" w:cs="仿宋_GB2312"/>
          <w:color w:val="000000" w:themeColor="text1"/>
          <w:sz w:val="24"/>
          <w:szCs w:val="24"/>
        </w:rPr>
        <w:br w:type="page"/>
      </w:r>
    </w:p>
    <w:p w:rsidR="00E37845" w:rsidRDefault="00E22BDD">
      <w:pPr>
        <w:tabs>
          <w:tab w:val="left" w:pos="312"/>
        </w:tabs>
        <w:adjustRightInd w:val="0"/>
        <w:snapToGrid w:val="0"/>
        <w:spacing w:line="360" w:lineRule="auto"/>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lastRenderedPageBreak/>
        <w:t>附件二：报到所需材料及具体流程</w:t>
      </w: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22BDD">
      <w:pPr>
        <w:adjustRightInd w:val="0"/>
        <w:snapToGrid w:val="0"/>
        <w:spacing w:line="336" w:lineRule="auto"/>
        <w:ind w:firstLineChars="200" w:firstLine="480"/>
        <w:rPr>
          <w:rStyle w:val="af2"/>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人事处网址：</w:t>
      </w:r>
      <w:r>
        <w:rPr>
          <w:rStyle w:val="af2"/>
          <w:rFonts w:ascii="Times New Roman" w:eastAsia="仿宋_GB2312" w:hAnsi="Times New Roman"/>
          <w:color w:val="000000" w:themeColor="text1"/>
          <w:sz w:val="24"/>
          <w:szCs w:val="24"/>
        </w:rPr>
        <w:t>http://portal.gzhu.edu.cn/web/rsc/home</w:t>
      </w:r>
    </w:p>
    <w:p w:rsidR="00E37845" w:rsidRDefault="00E22BDD">
      <w:pPr>
        <w:adjustRightInd w:val="0"/>
        <w:snapToGrid w:val="0"/>
        <w:spacing w:line="336" w:lineRule="auto"/>
        <w:ind w:firstLineChars="200" w:firstLine="480"/>
        <w:rPr>
          <w:rFonts w:ascii="仿宋_GB2312" w:eastAsia="仿宋_GB2312" w:hAnsi="仿宋_GB2312" w:cs="仿宋_GB2312"/>
          <w:iCs/>
          <w:color w:val="000000" w:themeColor="text1"/>
          <w:sz w:val="24"/>
          <w:szCs w:val="24"/>
          <w:u w:val="single"/>
        </w:rPr>
      </w:pPr>
      <w:r>
        <w:rPr>
          <w:rFonts w:ascii="仿宋_GB2312" w:eastAsia="仿宋_GB2312" w:hAnsi="仿宋_GB2312" w:cs="仿宋_GB2312" w:hint="eastAsia"/>
          <w:iCs/>
          <w:color w:val="000000" w:themeColor="text1"/>
          <w:sz w:val="24"/>
          <w:szCs w:val="24"/>
          <w:u w:val="single"/>
        </w:rPr>
        <w:t>报到流程：人事管理科→计划生育办公室→培养与发展科→后勤服务处→教务处→学院（部处）办公室→工会→科研处→人事管理科→薪酬管理科→网络中心→财务处→组织部或者统战部</w:t>
      </w:r>
    </w:p>
    <w:p w:rsidR="00E37845" w:rsidRDefault="00E37845">
      <w:pPr>
        <w:adjustRightInd w:val="0"/>
        <w:snapToGrid w:val="0"/>
        <w:spacing w:line="336" w:lineRule="auto"/>
        <w:ind w:firstLineChars="200" w:firstLine="480"/>
        <w:rPr>
          <w:rFonts w:ascii="仿宋_GB2312" w:eastAsia="仿宋_GB2312" w:hAnsi="仿宋_GB2312" w:cs="仿宋_GB2312"/>
          <w:i/>
          <w:color w:val="000000" w:themeColor="text1"/>
          <w:sz w:val="24"/>
          <w:szCs w:val="24"/>
          <w:u w:val="single"/>
        </w:rPr>
      </w:pP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一、人事管理科（行政西后座</w:t>
      </w:r>
      <w:r>
        <w:rPr>
          <w:rFonts w:ascii="仿宋_GB2312" w:eastAsia="仿宋_GB2312" w:hAnsi="仿宋_GB2312" w:cs="仿宋_GB2312"/>
          <w:color w:val="000000" w:themeColor="text1"/>
          <w:sz w:val="24"/>
          <w:szCs w:val="24"/>
        </w:rPr>
        <w:t>405室）：</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①聘用合同书或者入校协议书等；</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②提交本人的最高学历、学位、职称证、原单位聘书、身份证、报到证、调令、行政介绍信、各类人才项目证书等原件及复印件验证；</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③填写个人信息资料</w:t>
      </w:r>
      <w:r>
        <w:rPr>
          <w:rFonts w:ascii="仿宋_GB2312" w:eastAsia="仿宋_GB2312" w:hAnsi="仿宋_GB2312" w:cs="仿宋_GB2312"/>
          <w:color w:val="000000" w:themeColor="text1"/>
          <w:sz w:val="24"/>
          <w:szCs w:val="24"/>
        </w:rPr>
        <w:t>(含校园卡信息表)；</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④领取《报到通知书》、《各部门通知书》、《住房安排通知书》；</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⑤填写《干部履历表》，于一周内交回；</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⑥领取办理公费医疗证的材料：在职证明函、增人卡，自报到三个月内办理公费医疗关系，逾期不再办理。校公费医疗办公室电话：</w:t>
      </w:r>
      <w:r>
        <w:rPr>
          <w:rFonts w:ascii="仿宋_GB2312" w:eastAsia="仿宋_GB2312" w:hAnsi="仿宋_GB2312" w:cs="仿宋_GB2312"/>
          <w:color w:val="000000" w:themeColor="text1"/>
          <w:sz w:val="24"/>
          <w:szCs w:val="24"/>
        </w:rPr>
        <w:t>020-39366552。</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二、计划生育办公室（行政西后座</w:t>
      </w:r>
      <w:r>
        <w:rPr>
          <w:rFonts w:ascii="仿宋_GB2312" w:eastAsia="仿宋_GB2312" w:hAnsi="仿宋_GB2312" w:cs="仿宋_GB2312"/>
          <w:color w:val="000000" w:themeColor="text1"/>
          <w:sz w:val="24"/>
          <w:szCs w:val="24"/>
        </w:rPr>
        <w:t>413室）：</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①提交《报到通知书》、原单位或户口所在地计生部门提供的计生证明原件、计划生育服务证原件、小一寸相片一张；</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②填写《计划生育育龄人员管理卡》、《广州大学人口和计划生育合同书》（一式二份）；</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三、培养与发展科（行政西后座</w:t>
      </w:r>
      <w:r>
        <w:rPr>
          <w:rFonts w:ascii="仿宋_GB2312" w:eastAsia="仿宋_GB2312" w:hAnsi="仿宋_GB2312" w:cs="仿宋_GB2312"/>
          <w:color w:val="000000" w:themeColor="text1"/>
          <w:sz w:val="24"/>
          <w:szCs w:val="24"/>
        </w:rPr>
        <w:t>401、402室）：</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①凭《报到通知书》报到，并由科长在各部门通知书上签字；</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②非合同年薪制人员签订“广州大学聘用合同”；</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③</w:t>
      </w:r>
      <w:r>
        <w:rPr>
          <w:rFonts w:ascii="仿宋_GB2312" w:eastAsia="仿宋_GB2312" w:hAnsi="仿宋_GB2312" w:cs="仿宋_GB2312" w:hint="eastAsia"/>
          <w:color w:val="000000" w:themeColor="text1"/>
          <w:spacing w:val="10"/>
          <w:sz w:val="24"/>
          <w:szCs w:val="24"/>
        </w:rPr>
        <w:t>新参加高校工作或未有高校教师资格的人员，须参加由学校组织的青年教师岗前培训，作为办理教师资格证或职称申报的必要条件。具体培训安排详见当年人事处有关培训通知。（培训时间一般安排在每年</w:t>
      </w:r>
      <w:r>
        <w:rPr>
          <w:rFonts w:ascii="仿宋_GB2312" w:eastAsia="仿宋_GB2312" w:hAnsi="仿宋_GB2312" w:cs="仿宋_GB2312"/>
          <w:color w:val="000000" w:themeColor="text1"/>
          <w:spacing w:val="10"/>
          <w:sz w:val="24"/>
          <w:szCs w:val="24"/>
        </w:rPr>
        <w:t>7月中旬，每年一期，时间15</w:t>
      </w:r>
      <w:r>
        <w:rPr>
          <w:rFonts w:ascii="仿宋_GB2312" w:eastAsia="仿宋_GB2312" w:hAnsi="仿宋_GB2312" w:cs="仿宋_GB2312" w:hint="eastAsia"/>
          <w:color w:val="000000" w:themeColor="text1"/>
          <w:spacing w:val="10"/>
          <w:sz w:val="24"/>
          <w:szCs w:val="24"/>
        </w:rPr>
        <w:t>天左右）；</w:t>
      </w:r>
    </w:p>
    <w:p w:rsidR="00E37845" w:rsidRDefault="00E22BDD">
      <w:pPr>
        <w:adjustRightInd w:val="0"/>
        <w:snapToGrid w:val="0"/>
        <w:spacing w:line="336" w:lineRule="auto"/>
        <w:ind w:firstLineChars="200" w:firstLine="520"/>
        <w:rPr>
          <w:rFonts w:ascii="仿宋_GB2312" w:eastAsia="仿宋_GB2312" w:hAnsi="仿宋_GB2312" w:cs="仿宋_GB2312"/>
          <w:color w:val="000000" w:themeColor="text1"/>
          <w:spacing w:val="10"/>
          <w:sz w:val="24"/>
          <w:szCs w:val="24"/>
        </w:rPr>
      </w:pPr>
      <w:r>
        <w:rPr>
          <w:rFonts w:ascii="仿宋_GB2312" w:eastAsia="仿宋_GB2312" w:hAnsi="仿宋_GB2312" w:cs="仿宋_GB2312" w:hint="eastAsia"/>
          <w:color w:val="000000" w:themeColor="text1"/>
          <w:spacing w:val="10"/>
          <w:sz w:val="24"/>
          <w:szCs w:val="24"/>
        </w:rPr>
        <w:t>④办理省外来粤专业技术资格确认；</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四、后勤服务处（行政西后座</w:t>
      </w:r>
      <w:r>
        <w:rPr>
          <w:rFonts w:ascii="仿宋_GB2312" w:eastAsia="仿宋_GB2312" w:hAnsi="仿宋_GB2312" w:cs="仿宋_GB2312"/>
          <w:color w:val="000000" w:themeColor="text1"/>
          <w:sz w:val="24"/>
          <w:szCs w:val="24"/>
        </w:rPr>
        <w:t>328室）：凭《报到通知书》、《住房安排通知书》办理相关住房手续，非合同年薪制人员提交“机关事业单位个人享受政策性住房情况表”。</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lastRenderedPageBreak/>
        <w:t>五、凭《报到通知书》到教务处韩老师处报到（行政西后座</w:t>
      </w:r>
      <w:r>
        <w:rPr>
          <w:rFonts w:ascii="仿宋_GB2312" w:eastAsia="仿宋_GB2312" w:hAnsi="仿宋_GB2312" w:cs="仿宋_GB2312"/>
          <w:color w:val="000000" w:themeColor="text1"/>
          <w:sz w:val="24"/>
          <w:szCs w:val="24"/>
        </w:rPr>
        <w:t>209</w:t>
      </w:r>
      <w:r>
        <w:rPr>
          <w:rFonts w:ascii="仿宋_GB2312" w:eastAsia="仿宋_GB2312" w:hAnsi="仿宋_GB2312" w:cs="仿宋_GB2312" w:hint="eastAsia"/>
          <w:color w:val="000000" w:themeColor="text1"/>
          <w:sz w:val="24"/>
          <w:szCs w:val="24"/>
        </w:rPr>
        <w:t>室），登记青年教师教学能力培养计划手续，以便办理教师资格证，已有教师资格证老师不需办理。</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六、凭《报到通知书》到拟安排的各学院（部处）办公室报到，并由办公室主任或者主管人事工作的领导签字。</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七</w:t>
      </w:r>
      <w:r>
        <w:rPr>
          <w:rFonts w:ascii="仿宋_GB2312" w:eastAsia="仿宋_GB2312" w:hAnsi="仿宋_GB2312" w:cs="仿宋_GB2312"/>
          <w:color w:val="000000" w:themeColor="text1"/>
          <w:sz w:val="24"/>
          <w:szCs w:val="24"/>
        </w:rPr>
        <w:t>、</w:t>
      </w:r>
      <w:r>
        <w:rPr>
          <w:rFonts w:ascii="仿宋_GB2312" w:eastAsia="仿宋_GB2312" w:hAnsi="仿宋_GB2312" w:cs="仿宋_GB2312" w:hint="eastAsia"/>
          <w:color w:val="000000" w:themeColor="text1"/>
          <w:sz w:val="24"/>
          <w:szCs w:val="24"/>
        </w:rPr>
        <w:t>工会（行政东后座</w:t>
      </w:r>
      <w:r>
        <w:rPr>
          <w:rFonts w:ascii="仿宋_GB2312" w:eastAsia="仿宋_GB2312" w:hAnsi="仿宋_GB2312" w:cs="仿宋_GB2312"/>
          <w:color w:val="000000" w:themeColor="text1"/>
          <w:sz w:val="24"/>
          <w:szCs w:val="24"/>
        </w:rPr>
        <w:t>604室陈老师）：提交小一寸相片一张，凭《报到通知书》办理工会证。</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八</w:t>
      </w:r>
      <w:r>
        <w:rPr>
          <w:rFonts w:ascii="仿宋_GB2312" w:eastAsia="仿宋_GB2312" w:hAnsi="仿宋_GB2312" w:cs="仿宋_GB2312"/>
          <w:color w:val="000000" w:themeColor="text1"/>
          <w:sz w:val="24"/>
          <w:szCs w:val="24"/>
        </w:rPr>
        <w:t>、</w:t>
      </w:r>
      <w:r>
        <w:rPr>
          <w:rFonts w:ascii="仿宋_GB2312" w:eastAsia="仿宋_GB2312" w:hAnsi="仿宋_GB2312" w:cs="仿宋_GB2312" w:hint="eastAsia"/>
          <w:color w:val="000000" w:themeColor="text1"/>
          <w:sz w:val="24"/>
          <w:szCs w:val="24"/>
        </w:rPr>
        <w:t>科研处（行政西后座</w:t>
      </w:r>
      <w:r>
        <w:rPr>
          <w:rFonts w:ascii="仿宋_GB2312" w:eastAsia="仿宋_GB2312" w:hAnsi="仿宋_GB2312" w:cs="仿宋_GB2312"/>
          <w:color w:val="000000" w:themeColor="text1"/>
          <w:sz w:val="24"/>
          <w:szCs w:val="24"/>
        </w:rPr>
        <w:t>304室）：合同年薪制老师办理科研启动费手续。</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九</w:t>
      </w:r>
      <w:r>
        <w:rPr>
          <w:rFonts w:ascii="仿宋_GB2312" w:eastAsia="仿宋_GB2312" w:hAnsi="仿宋_GB2312" w:cs="仿宋_GB2312"/>
          <w:color w:val="000000" w:themeColor="text1"/>
          <w:sz w:val="24"/>
          <w:szCs w:val="24"/>
        </w:rPr>
        <w:t>、</w:t>
      </w:r>
      <w:r>
        <w:rPr>
          <w:rFonts w:ascii="仿宋_GB2312" w:eastAsia="仿宋_GB2312" w:hAnsi="仿宋_GB2312" w:cs="仿宋_GB2312" w:hint="eastAsia"/>
          <w:color w:val="000000" w:themeColor="text1"/>
          <w:sz w:val="24"/>
          <w:szCs w:val="24"/>
        </w:rPr>
        <w:t>以上各部门的手续办理完后凭“各部门通知单”到人事管理科办理工资手续，并提供以下材料：</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①交广州市工商银行存折（卡）复印件</w:t>
      </w:r>
      <w:r>
        <w:rPr>
          <w:rFonts w:ascii="仿宋_GB2312" w:eastAsia="仿宋_GB2312" w:hAnsi="仿宋_GB2312" w:cs="仿宋_GB2312"/>
          <w:color w:val="000000" w:themeColor="text1"/>
          <w:sz w:val="24"/>
          <w:szCs w:val="24"/>
        </w:rPr>
        <w:t>1份、身份证复印件（正反面复印在A4纸上）2份、最高学历学位证书复印件各1份、工资转移证明（调入人员）、凭各部门通知书及工资发放信息采集表办理财政工资发放手续；领取专业技术岗位工资的人员，须提供原单位的聘书、聘约和专业技术资格证书复印件1份。</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②领取专业技术岗位工资的调动引进人员，提交广州市人社局调令复印件（人事管理科提供）；海外留学归国人员提交留学归国证明复印件。</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十</w:t>
      </w:r>
      <w:r>
        <w:rPr>
          <w:rFonts w:ascii="仿宋_GB2312" w:eastAsia="仿宋_GB2312" w:hAnsi="仿宋_GB2312" w:cs="仿宋_GB2312"/>
          <w:color w:val="000000" w:themeColor="text1"/>
          <w:sz w:val="24"/>
          <w:szCs w:val="24"/>
        </w:rPr>
        <w:t>、</w:t>
      </w:r>
      <w:r>
        <w:rPr>
          <w:rFonts w:ascii="仿宋_GB2312" w:eastAsia="仿宋_GB2312" w:hAnsi="仿宋_GB2312" w:cs="仿宋_GB2312" w:hint="eastAsia"/>
          <w:color w:val="000000" w:themeColor="text1"/>
          <w:sz w:val="24"/>
          <w:szCs w:val="24"/>
        </w:rPr>
        <w:t>网络中心（图书馆附楼</w:t>
      </w:r>
      <w:r>
        <w:rPr>
          <w:rFonts w:ascii="仿宋_GB2312" w:eastAsia="仿宋_GB2312" w:hAnsi="仿宋_GB2312" w:cs="仿宋_GB2312"/>
          <w:color w:val="000000" w:themeColor="text1"/>
          <w:sz w:val="24"/>
          <w:szCs w:val="24"/>
        </w:rPr>
        <w:t>404室）：</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①凭校园卡信息表办理校园卡（工作证）；</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②登陆网址：</w:t>
      </w:r>
      <w:hyperlink r:id="rId13" w:history="1">
        <w:r>
          <w:rPr>
            <w:rStyle w:val="af2"/>
            <w:rFonts w:ascii="Times New Roman" w:eastAsia="仿宋_GB2312" w:hAnsi="Times New Roman"/>
            <w:color w:val="000000" w:themeColor="text1"/>
            <w:sz w:val="24"/>
            <w:szCs w:val="24"/>
          </w:rPr>
          <w:t>http://202.192.18.154:7071/hrm/</w:t>
        </w:r>
      </w:hyperlink>
      <w:r>
        <w:rPr>
          <w:rFonts w:ascii="仿宋_GB2312" w:eastAsia="仿宋_GB2312" w:hAnsi="仿宋_GB2312" w:cs="仿宋_GB2312"/>
          <w:color w:val="000000" w:themeColor="text1"/>
          <w:sz w:val="24"/>
          <w:szCs w:val="24"/>
        </w:rPr>
        <w:t xml:space="preserve"> 广州大学人力资源管理信息系统，在网上填报个人信息后，人事管理科审核后可以使用个人门户系统。个人信息门户系统地址：广州大学主页→数字广大或者</w:t>
      </w:r>
      <w:hyperlink r:id="rId14" w:history="1">
        <w:r>
          <w:rPr>
            <w:rStyle w:val="af2"/>
            <w:rFonts w:ascii="Times New Roman" w:eastAsia="仿宋_GB2312" w:hAnsi="Times New Roman"/>
            <w:color w:val="000000" w:themeColor="text1"/>
            <w:sz w:val="24"/>
            <w:szCs w:val="24"/>
          </w:rPr>
          <w:t>http://my.gzhu.edu.cn</w:t>
        </w:r>
      </w:hyperlink>
      <w:r>
        <w:rPr>
          <w:rFonts w:ascii="仿宋_GB2312" w:eastAsia="仿宋_GB2312" w:hAnsi="仿宋_GB2312" w:cs="仿宋_GB2312" w:hint="eastAsia"/>
          <w:color w:val="000000" w:themeColor="text1"/>
          <w:sz w:val="24"/>
          <w:szCs w:val="24"/>
        </w:rPr>
        <w:t>，登陆帐号：工号前面加</w:t>
      </w:r>
      <w:r>
        <w:rPr>
          <w:rFonts w:ascii="仿宋_GB2312" w:eastAsia="仿宋_GB2312" w:hAnsi="仿宋_GB2312" w:cs="仿宋_GB2312"/>
          <w:color w:val="000000" w:themeColor="text1"/>
          <w:sz w:val="24"/>
          <w:szCs w:val="24"/>
        </w:rPr>
        <w:t>1，初始密码为身份证后6位。</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十一</w:t>
      </w:r>
      <w:r>
        <w:rPr>
          <w:rFonts w:ascii="仿宋_GB2312" w:eastAsia="仿宋_GB2312" w:hAnsi="仿宋_GB2312" w:cs="仿宋_GB2312"/>
          <w:color w:val="000000" w:themeColor="text1"/>
          <w:sz w:val="24"/>
          <w:szCs w:val="24"/>
        </w:rPr>
        <w:t>、财务处（行政西前座一楼大厅）：凭“办理公务卡证明”办理公务卡；需转入住房公积金的调入人员，可办理相关手续。</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十二</w:t>
      </w:r>
      <w:r>
        <w:rPr>
          <w:rFonts w:ascii="仿宋_GB2312" w:eastAsia="仿宋_GB2312" w:hAnsi="仿宋_GB2312" w:cs="仿宋_GB2312"/>
          <w:color w:val="000000" w:themeColor="text1"/>
          <w:sz w:val="24"/>
          <w:szCs w:val="24"/>
        </w:rPr>
        <w:t>、组织部（行政西后座527室）：中共党员凭《报到通知书》办理组织关系转移手续。</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十三</w:t>
      </w:r>
      <w:r>
        <w:rPr>
          <w:rFonts w:ascii="仿宋_GB2312" w:eastAsia="仿宋_GB2312" w:hAnsi="仿宋_GB2312" w:cs="仿宋_GB2312"/>
          <w:color w:val="000000" w:themeColor="text1"/>
          <w:sz w:val="24"/>
          <w:szCs w:val="24"/>
        </w:rPr>
        <w:t>、统战部（行政西后座525室）：民主党派人员凭《报到通知书》办理有关手续。</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十四</w:t>
      </w:r>
      <w:r>
        <w:rPr>
          <w:rFonts w:ascii="仿宋_GB2312" w:eastAsia="仿宋_GB2312" w:hAnsi="仿宋_GB2312" w:cs="仿宋_GB2312"/>
          <w:color w:val="000000" w:themeColor="text1"/>
          <w:sz w:val="24"/>
          <w:szCs w:val="24"/>
        </w:rPr>
        <w:t>、保卫处户籍室（大学城行政西后座1楼）：按照办理入户须知的要求办理。</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（人事管理科报到手续经办人：张老师；联系电话：</w:t>
      </w:r>
      <w:r>
        <w:rPr>
          <w:rFonts w:ascii="仿宋_GB2312" w:eastAsia="仿宋_GB2312" w:hAnsi="仿宋_GB2312" w:cs="仿宋_GB2312"/>
          <w:color w:val="000000" w:themeColor="text1"/>
          <w:sz w:val="24"/>
          <w:szCs w:val="24"/>
        </w:rPr>
        <w:t>020-39366207）</w:t>
      </w:r>
    </w:p>
    <w:p w:rsidR="00E37845" w:rsidRDefault="00E22BDD">
      <w:pPr>
        <w:tabs>
          <w:tab w:val="left" w:pos="312"/>
        </w:tabs>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br w:type="page"/>
      </w:r>
    </w:p>
    <w:p w:rsidR="00E37845" w:rsidRDefault="00E22BDD">
      <w:pPr>
        <w:tabs>
          <w:tab w:val="left" w:pos="312"/>
        </w:tabs>
        <w:adjustRightInd w:val="0"/>
        <w:snapToGrid w:val="0"/>
        <w:spacing w:line="360" w:lineRule="auto"/>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lastRenderedPageBreak/>
        <w:t>附件三：调令材料清单及其要求</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一、广州市引进人才申报表（人事处提供模板）</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二、原单位同意调出函（一般会随档案过来，如无要找原单位开）</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三、广州大学组织机构代码复印件（人事处提供）</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四、拟调入人员增人计划卡（人事处提供）</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五、拟调入人员的身份证、户口本（地址页和本人页）</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六、拟调入人员的最高学历、学位证书及其认证报告</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七、专业技术资格资料：职称证书、职称评审表，如广州市外的职称证书提供鉴定证明和职称评审地社保缴费证明（广东省外的职称需根据邱老师提供的职称协查证明模板填好到职称发证机构盖章后，再带上邱老师开具的职称核查申请表和档案材料中的职称评审表复印件到广州市专业技术资格评价中心做职称核查证明，广东省、但不是广州市的职称证无需职称协查，带上邱老师开具的职称核查申请表和档案材料中的职称评审表复印件直接到广州市专业技术资格评价中心做职称核查证明）</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八、有小孩子随迁的提供出生证，有两个小孩以上的提供出生证、二胎或多胎生育许可证、小孩户口本（政策放开之后出生的无需提供许可证，小孩超过</w:t>
      </w:r>
      <w:r>
        <w:rPr>
          <w:rFonts w:ascii="仿宋_GB2312" w:eastAsia="仿宋_GB2312" w:hAnsi="仿宋_GB2312" w:cs="仿宋_GB2312"/>
          <w:color w:val="000000" w:themeColor="text1"/>
          <w:sz w:val="24"/>
          <w:szCs w:val="24"/>
        </w:rPr>
        <w:t>16周岁的在校生，需提供在校就读证明，超过18周岁或户口与主调方不一致或在海外生活的都不能随迁）。</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九、结婚证首页及个人页，离异的提供离婚证书、判决书或调解书。（最好原件整份扫描，海外结婚证需做翻译公证）</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十、配偶的学历学位及其鉴定、职称证书及其核查证明，（配偶不随调的无需提供）</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十一、配偶不在广州且单调人员提供不调方的“单方调动意见书”（按模板填写后签字扫描，并交原件）</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十二、广州大学集体户口本复印件。（人事处提供，在广州市有房产的不能落我校的集体户）</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十三、广州大学同意落户证明及合法住所证明。（人事处提供）</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注意：以上材料同时提供原件、复印件及电子扫描件（电子版必须为小于</w:t>
      </w:r>
      <w:r>
        <w:rPr>
          <w:rFonts w:ascii="仿宋_GB2312" w:eastAsia="仿宋_GB2312" w:hAnsi="仿宋_GB2312" w:cs="仿宋_GB2312"/>
          <w:color w:val="000000" w:themeColor="text1"/>
          <w:sz w:val="24"/>
          <w:szCs w:val="24"/>
        </w:rPr>
        <w:t>500k的jpg格式图片发送至人事处招聘邮箱：</w:t>
      </w:r>
      <w:r>
        <w:rPr>
          <w:rFonts w:ascii="Times New Roman" w:eastAsia="仿宋_GB2312" w:hAnsi="Times New Roman"/>
          <w:color w:val="000000" w:themeColor="text1"/>
          <w:sz w:val="24"/>
          <w:szCs w:val="24"/>
        </w:rPr>
        <w:t>gdzp@gzhu.edu.cn</w:t>
      </w:r>
      <w:r>
        <w:rPr>
          <w:rFonts w:ascii="仿宋_GB2312" w:eastAsia="仿宋_GB2312" w:hAnsi="仿宋_GB2312" w:cs="仿宋_GB2312"/>
          <w:color w:val="000000" w:themeColor="text1"/>
          <w:sz w:val="24"/>
          <w:szCs w:val="24"/>
        </w:rPr>
        <w:t>）</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根据广州市人才引进相关政策，办理调令一般有两种方式：</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lastRenderedPageBreak/>
        <w:t>一种是以学历学位办理，要求必须做学历学位认证，且博士不超过</w:t>
      </w:r>
      <w:r>
        <w:rPr>
          <w:rFonts w:ascii="仿宋_GB2312" w:eastAsia="仿宋_GB2312" w:hAnsi="仿宋_GB2312" w:cs="仿宋_GB2312"/>
          <w:color w:val="000000" w:themeColor="text1"/>
          <w:sz w:val="24"/>
          <w:szCs w:val="24"/>
        </w:rPr>
        <w:t>45周岁，硕士不超过40岁，本科不超过35周岁，</w:t>
      </w:r>
      <w:r>
        <w:rPr>
          <w:rFonts w:ascii="仿宋_GB2312" w:eastAsia="仿宋_GB2312" w:hAnsi="仿宋_GB2312" w:cs="仿宋_GB2312" w:hint="eastAsia"/>
          <w:color w:val="000000" w:themeColor="text1"/>
          <w:sz w:val="24"/>
          <w:szCs w:val="24"/>
        </w:rPr>
        <w:t>如果您以这种方式办理，材料（</w:t>
      </w:r>
      <w:r>
        <w:rPr>
          <w:rFonts w:ascii="仿宋_GB2312" w:eastAsia="仿宋_GB2312" w:hAnsi="仿宋_GB2312" w:cs="仿宋_GB2312"/>
          <w:color w:val="000000" w:themeColor="text1"/>
          <w:sz w:val="24"/>
          <w:szCs w:val="24"/>
        </w:rPr>
        <w:t>7）不用提供，人才引进申报表中与职称相关的内容请不要填写，以免人社局要求提供材料（7）</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一种是以职称办理，要求必须到广州市专业技术资格评价中心做职称核查，且要求正高不超过</w:t>
      </w:r>
      <w:r>
        <w:rPr>
          <w:rFonts w:ascii="仿宋_GB2312" w:eastAsia="仿宋_GB2312" w:hAnsi="仿宋_GB2312" w:cs="仿宋_GB2312"/>
          <w:color w:val="000000" w:themeColor="text1"/>
          <w:sz w:val="24"/>
          <w:szCs w:val="24"/>
        </w:rPr>
        <w:t>50岁，副高不超过45岁，中级职称（必须有本科学历）不超过35周岁。</w:t>
      </w:r>
      <w:r>
        <w:rPr>
          <w:rFonts w:ascii="仿宋_GB2312" w:eastAsia="仿宋_GB2312" w:hAnsi="仿宋_GB2312" w:cs="仿宋_GB2312" w:hint="eastAsia"/>
          <w:color w:val="000000" w:themeColor="text1"/>
          <w:sz w:val="24"/>
          <w:szCs w:val="24"/>
        </w:rPr>
        <w:t>以职称办理的，无需提供材料（</w:t>
      </w:r>
      <w:r>
        <w:rPr>
          <w:rFonts w:ascii="仿宋_GB2312" w:eastAsia="仿宋_GB2312" w:hAnsi="仿宋_GB2312" w:cs="仿宋_GB2312"/>
          <w:color w:val="000000" w:themeColor="text1"/>
          <w:sz w:val="24"/>
          <w:szCs w:val="24"/>
        </w:rPr>
        <w:t>6）</w:t>
      </w:r>
      <w:r>
        <w:rPr>
          <w:rFonts w:ascii="仿宋_GB2312" w:eastAsia="仿宋_GB2312" w:hAnsi="仿宋_GB2312" w:cs="仿宋_GB2312" w:hint="eastAsia"/>
          <w:color w:val="000000" w:themeColor="text1"/>
          <w:sz w:val="24"/>
          <w:szCs w:val="24"/>
        </w:rPr>
        <w:t>。如您有配偶随调，且配偶因学历或超龄不符合单独引进条件的，则您必须以正高职称办理，您的同调配偶需提供学历学位认证；中科院等一些高校发的聘书及省外职证证书因无法做职称核查，或是因超龄而无法正常办理，则需学校向市人社局打报告申请简化手续或超龄白卡，经市人社局批准后复函才能办理。</w:t>
      </w:r>
    </w:p>
    <w:p w:rsidR="00E37845" w:rsidRDefault="00E22BDD">
      <w:pPr>
        <w:autoSpaceDE w:val="0"/>
        <w:adjustRightInd w:val="0"/>
        <w:snapToGrid w:val="0"/>
        <w:spacing w:beforeLines="50" w:before="156" w:afterLines="50" w:after="156" w:line="360" w:lineRule="auto"/>
        <w:rPr>
          <w:rFonts w:ascii="仿宋_GB2312" w:eastAsia="仿宋_GB2312" w:hAnsi="仿宋_GB2312" w:cs="仿宋_GB2312"/>
          <w:color w:val="000000" w:themeColor="text1"/>
          <w:sz w:val="24"/>
          <w:szCs w:val="24"/>
        </w:rPr>
      </w:pPr>
      <w:bookmarkStart w:id="475" w:name="_Toc22890"/>
      <w:bookmarkEnd w:id="445"/>
      <w:bookmarkEnd w:id="475"/>
      <w:r>
        <w:rPr>
          <w:rFonts w:ascii="仿宋_GB2312" w:eastAsia="仿宋_GB2312" w:hAnsi="仿宋_GB2312" w:cs="仿宋_GB2312"/>
          <w:color w:val="000000" w:themeColor="text1"/>
          <w:sz w:val="24"/>
          <w:szCs w:val="24"/>
        </w:rPr>
        <w:br w:type="page"/>
      </w:r>
      <w:r>
        <w:rPr>
          <w:rFonts w:ascii="黑体" w:eastAsia="黑体" w:hAnsi="黑体" w:cs="黑体" w:hint="eastAsia"/>
          <w:b/>
          <w:bCs/>
          <w:color w:val="000000" w:themeColor="text1"/>
          <w:sz w:val="24"/>
          <w:szCs w:val="24"/>
        </w:rPr>
        <w:lastRenderedPageBreak/>
        <w:t>附件四：市外调动人员调令办理流程</w:t>
      </w:r>
    </w:p>
    <w:p w:rsidR="00E37845" w:rsidRDefault="00E22BDD">
      <w:pPr>
        <w:autoSpaceDE w:val="0"/>
        <w:adjustRightInd w:val="0"/>
        <w:snapToGrid w:val="0"/>
        <w:spacing w:beforeLines="50" w:before="156" w:afterLines="50" w:after="156"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档案已到我校，增人卡已办好的，市外调动人员可进行一下步骤</w:t>
      </w:r>
      <w:r>
        <w:rPr>
          <w:rFonts w:ascii="仿宋_GB2312" w:eastAsia="仿宋_GB2312" w:hAnsi="仿宋_GB2312" w:cs="仿宋_GB2312"/>
          <w:color w:val="000000" w:themeColor="text1"/>
          <w:sz w:val="24"/>
          <w:szCs w:val="24"/>
        </w:rPr>
        <w:t>:</w:t>
      </w:r>
    </w:p>
    <w:p w:rsidR="00E37845" w:rsidRDefault="001B499F">
      <w:pPr>
        <w:autoSpaceDE w:val="0"/>
        <w:adjustRightInd w:val="0"/>
        <w:snapToGrid w:val="0"/>
        <w:spacing w:line="360" w:lineRule="auto"/>
        <w:ind w:firstLineChars="200" w:firstLine="420"/>
        <w:jc w:val="left"/>
        <w:rPr>
          <w:rFonts w:ascii="仿宋_GB2312" w:eastAsia="仿宋_GB2312" w:hAnsi="仿宋_GB2312" w:cs="仿宋_GB2312"/>
          <w:color w:val="000000" w:themeColor="text1"/>
          <w:sz w:val="24"/>
          <w:szCs w:val="24"/>
        </w:rPr>
      </w:pPr>
      <w:r>
        <w:pict>
          <v:shapetype id="_x0000_t202" coordsize="21600,21600" o:spt="202" path="m,l,21600r21600,l21600,xe">
            <v:stroke joinstyle="miter"/>
            <v:path gradientshapeok="t" o:connecttype="rect"/>
          </v:shapetype>
          <v:shape id="_x0000_s1026" type="#_x0000_t202" style="position:absolute;left:0;text-align:left;margin-left:0;margin-top:77.25pt;width:413.7pt;height:63.75pt;z-index:251678208;mso-width-relative:page;mso-height-relative:page" o:gfxdata="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5q1yd9YAAAAIAQAADwAAAAAA&#10;AAABACAAAAAiAAAAZHJzL2Rvd25yZXYueG1sUEsBAhQAFAAAAAgAh07iQLc3TOJOAgAAhAQAAA4A&#10;AAAAAAAAAQAgAAAAJQEAAGRycy9lMm9Eb2MueG1sUEsFBgAAAAAGAAYAWQEAAOUFAAAAAA==&#10;" strokeweight=".5pt">
            <v:stroke joinstyle="round"/>
            <v:textbox>
              <w:txbxContent>
                <w:p w:rsidR="00E37845" w:rsidRDefault="00E22BDD">
                  <w:pPr>
                    <w:jc w:val="left"/>
                    <w:rPr>
                      <w:rFonts w:ascii="黑体" w:eastAsia="黑体" w:hAnsi="黑体"/>
                      <w:b/>
                      <w:bCs/>
                      <w:sz w:val="24"/>
                      <w:szCs w:val="24"/>
                    </w:rPr>
                  </w:pPr>
                  <w:r>
                    <w:rPr>
                      <w:rFonts w:ascii="黑体" w:eastAsia="黑体" w:hAnsi="黑体" w:hint="eastAsia"/>
                      <w:b/>
                      <w:bCs/>
                      <w:sz w:val="24"/>
                      <w:szCs w:val="24"/>
                    </w:rPr>
                    <w:t>第二步：领取纸质材料</w:t>
                  </w:r>
                </w:p>
                <w:p w:rsidR="00E37845" w:rsidRDefault="00E22BDD">
                  <w:pPr>
                    <w:jc w:val="left"/>
                    <w:rPr>
                      <w:rFonts w:ascii="仿宋_GB2312" w:eastAsia="仿宋_GB2312"/>
                    </w:rPr>
                  </w:pPr>
                  <w:r>
                    <w:rPr>
                      <w:rFonts w:ascii="仿宋_GB2312" w:eastAsia="仿宋_GB2312" w:hint="eastAsia"/>
                    </w:rPr>
                    <w:t>邱老师准备好相关材料后，联系申请人过来签字确认后领取纸质版材料，并提供预约初审时间及电话。</w:t>
                  </w:r>
                </w:p>
              </w:txbxContent>
            </v:textbox>
          </v:shape>
        </w:pict>
      </w:r>
      <w:r>
        <w:pict>
          <v:shape id="_x0000_s1027" type="#_x0000_t202" style="position:absolute;left:0;text-align:left;margin-left:3.75pt;margin-top:158.25pt;width:410.65pt;height:92.25pt;z-index:251679232;mso-width-relative:page;mso-height-relative:page" o:gfxdata="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u7/VH1gAAAAkBAAAPAAAA&#10;AAAAAAEAIAAAACIAAABkcnMvZG93bnJldi54bWxQSwECFAAUAAAACACHTuJAPBTQ8VACAACFBAAA&#10;DgAAAAAAAAABACAAAAAlAQAAZHJzL2Uyb0RvYy54bWxQSwUGAAAAAAYABgBZAQAA5wUAAAAA&#10;" strokeweight=".5pt">
            <v:stroke joinstyle="round"/>
            <v:textbox>
              <w:txbxContent>
                <w:p w:rsidR="00E37845" w:rsidRDefault="00E22BDD">
                  <w:pPr>
                    <w:jc w:val="left"/>
                    <w:rPr>
                      <w:rFonts w:ascii="黑体" w:eastAsia="黑体" w:hAnsi="黑体"/>
                      <w:b/>
                      <w:bCs/>
                      <w:sz w:val="24"/>
                      <w:szCs w:val="24"/>
                    </w:rPr>
                  </w:pPr>
                  <w:r>
                    <w:rPr>
                      <w:rFonts w:ascii="黑体" w:eastAsia="黑体" w:hAnsi="黑体" w:hint="eastAsia"/>
                      <w:b/>
                      <w:bCs/>
                      <w:sz w:val="24"/>
                      <w:szCs w:val="24"/>
                    </w:rPr>
                    <w:t>第三步：系统申报并预约初审</w:t>
                  </w:r>
                </w:p>
                <w:p w:rsidR="00E37845" w:rsidRDefault="00E22BDD">
                  <w:pPr>
                    <w:jc w:val="left"/>
                    <w:rPr>
                      <w:rFonts w:ascii="仿宋_GB2312" w:eastAsia="仿宋_GB2312"/>
                    </w:rPr>
                  </w:pPr>
                  <w:r>
                    <w:rPr>
                      <w:rFonts w:ascii="仿宋_GB2312" w:eastAsia="仿宋_GB2312" w:hint="eastAsia"/>
                    </w:rPr>
                    <w:t>邱老师将电子材料上报系统，并根据提供的预约时间预约窗口初审，申请人收到短信后带上邱老师准备的所有材料及相关原件到广州市政务服务中心窗口（020-38920361）办理初审，一般当天有结果，并发给申请人受理回执。</w:t>
                  </w:r>
                </w:p>
                <w:p w:rsidR="00E37845" w:rsidRDefault="00E22BDD">
                  <w:pPr>
                    <w:jc w:val="left"/>
                    <w:rPr>
                      <w:rFonts w:ascii="仿宋_GB2312" w:eastAsia="仿宋_GB2312"/>
                    </w:rPr>
                  </w:pPr>
                  <w:r>
                    <w:rPr>
                      <w:rFonts w:ascii="仿宋_GB2312" w:eastAsia="仿宋_GB2312" w:hint="eastAsia"/>
                    </w:rPr>
                    <w:t>建议初审时顺便到相关机构做好有无房产查册证明。</w:t>
                  </w:r>
                </w:p>
              </w:txbxContent>
            </v:textbox>
          </v:shape>
        </w:pict>
      </w:r>
      <w:r>
        <w:pict>
          <v:shape id="文本框 30" o:spid="_x0000_s1028" type="#_x0000_t202" style="position:absolute;left:0;text-align:left;margin-left:6.4pt;margin-top:268.15pt;width:409.2pt;height:83.35pt;z-index:251680256;mso-width-relative:page;mso-height-relative:page" o:gfxdata="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JrA021QAAAAoBAAAPAAAAAAAA&#10;AAEAIAAAACIAAABkcnMvZG93bnJldi54bWxQSwECFAAUAAAACACHTuJA3iFn/04CAACFBAAADgAA&#10;AAAAAAABACAAAAAkAQAAZHJzL2Uyb0RvYy54bWxQSwUGAAAAAAYABgBZAQAA5AUAAAAA&#10;" strokeweight=".5pt">
            <v:stroke joinstyle="round"/>
            <v:textbox>
              <w:txbxContent>
                <w:p w:rsidR="00E37845" w:rsidRDefault="00E22BDD">
                  <w:pPr>
                    <w:jc w:val="left"/>
                    <w:rPr>
                      <w:rFonts w:ascii="黑体" w:eastAsia="黑体" w:hAnsi="黑体"/>
                      <w:b/>
                      <w:bCs/>
                      <w:sz w:val="24"/>
                      <w:szCs w:val="24"/>
                    </w:rPr>
                  </w:pPr>
                  <w:r>
                    <w:rPr>
                      <w:rFonts w:ascii="黑体" w:eastAsia="黑体" w:hAnsi="黑体" w:hint="eastAsia"/>
                      <w:b/>
                      <w:bCs/>
                      <w:sz w:val="24"/>
                      <w:szCs w:val="24"/>
                    </w:rPr>
                    <w:t>第四步：等待市人社局终审</w:t>
                  </w:r>
                </w:p>
                <w:p w:rsidR="00E37845" w:rsidRDefault="00E22BDD">
                  <w:pPr>
                    <w:jc w:val="left"/>
                    <w:rPr>
                      <w:rFonts w:ascii="仿宋_GB2312" w:eastAsia="仿宋_GB2312"/>
                    </w:rPr>
                  </w:pPr>
                  <w:r>
                    <w:rPr>
                      <w:rFonts w:ascii="仿宋_GB2312" w:eastAsia="仿宋_GB2312" w:hint="eastAsia"/>
                    </w:rPr>
                    <w:t>窗口初审通过后，将增人卡、同意调出函、职称评审表等相关原件送还给邱老师，等待人社局终审，一般30个工作日左右会有结果，申请人收到短信通知后凭受理回执到指定地点领取人事调令及入户指标卡。</w:t>
                  </w:r>
                </w:p>
              </w:txbxContent>
            </v:textbox>
          </v:shape>
        </w:pict>
      </w:r>
      <w:r>
        <w:pict>
          <v:shape id="文本框 31" o:spid="_x0000_s1029" type="#_x0000_t202" style="position:absolute;left:0;text-align:left;margin-left:4.65pt;margin-top:374.3pt;width:410.7pt;height:165.4pt;z-index:251681280;mso-width-relative:page;mso-height-relative:page" o:gfxdata="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LXYEhNcAAAAKAQAA&#10;DwAAAAAAAAABACAAAAAiAAAAZHJzL2Rvd25yZXYueG1sUEsBAhQAFAAAAAgAh07iQCa0OyZTAgAA&#10;hQQAAA4AAAAAAAAAAQAgAAAAJgEAAGRycy9lMm9Eb2MueG1sUEsFBgAAAAAGAAYAWQEAAOsFAAAA&#10;AA==&#10;" strokeweight=".5pt">
            <v:stroke joinstyle="round"/>
            <v:textbox>
              <w:txbxContent>
                <w:p w:rsidR="00E37845" w:rsidRDefault="00E22BDD">
                  <w:pPr>
                    <w:jc w:val="left"/>
                    <w:rPr>
                      <w:rFonts w:ascii="黑体" w:eastAsia="黑体" w:hAnsi="黑体"/>
                      <w:b/>
                      <w:bCs/>
                      <w:sz w:val="24"/>
                      <w:szCs w:val="24"/>
                    </w:rPr>
                  </w:pPr>
                  <w:r>
                    <w:rPr>
                      <w:rFonts w:ascii="黑体" w:eastAsia="黑体" w:hAnsi="黑体" w:hint="eastAsia"/>
                      <w:b/>
                      <w:bCs/>
                      <w:sz w:val="24"/>
                      <w:szCs w:val="24"/>
                    </w:rPr>
                    <w:t>第五步：办理人事调动及落户</w:t>
                  </w:r>
                </w:p>
                <w:p w:rsidR="00E37845" w:rsidRDefault="00E22BDD">
                  <w:pPr>
                    <w:jc w:val="left"/>
                    <w:rPr>
                      <w:rFonts w:ascii="仿宋_GB2312" w:eastAsia="仿宋_GB2312"/>
                    </w:rPr>
                  </w:pPr>
                  <w:r>
                    <w:rPr>
                      <w:rFonts w:ascii="仿宋_GB2312" w:eastAsia="仿宋_GB2312" w:hint="eastAsia"/>
                    </w:rPr>
                    <w:t>申请者凭人事调令、入户指标卡先到广州公安微信公众号上预约入户复核，再到广大人事处405邱老师处领取同意调入及落户证明、人事处413蒋老师领取组织机构代码证、行政西后座一楼户籍科领取集体户首页，然后按预约时间携带复核要求材料到番禺区公安局（地铁市桥站附近）办理入户复核，领取户口准迁证，再凭户口准迁证到原户口所在派出所办理户口迁移证，最后凭户口迁移证、同意调入及落户证明、集体户首页、原户口本、身份证等材料到小谷围派出所办理落户并更换身份证；同时凭人事调令到原工作单位办理行政关系、工资关系、组织关系转移等手续，再回广大人事处405张老师处办理正式入职报到。</w:t>
                  </w:r>
                </w:p>
              </w:txbxContent>
            </v:textbox>
          </v:shape>
        </w:pict>
      </w:r>
      <w:r>
        <w:pict>
          <v:shape id="文本框 32" o:spid="_x0000_s1030" type="#_x0000_t202" style="position:absolute;left:0;text-align:left;margin-left:.75pt;margin-top:0;width:412.8pt;height:61.5pt;z-index:251682304;mso-width-relative:page;mso-height-relative:page" o:gfxdata="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e7ZcS0gAAAAYBAAAPAAAAAAAA&#10;AAEAIAAAACIAAABkcnMvZG93bnJldi54bWxQSwECFAAUAAAACACHTuJAp1oiT1ECAACEBAAADgAA&#10;AAAAAAABACAAAAAhAQAAZHJzL2Uyb0RvYy54bWxQSwUGAAAAAAYABgBZAQAA5AUAAAAA&#10;" strokeweight=".5pt">
            <v:stroke joinstyle="round"/>
            <v:textbox>
              <w:txbxContent>
                <w:p w:rsidR="00E37845" w:rsidRDefault="00E22BDD">
                  <w:pPr>
                    <w:jc w:val="left"/>
                    <w:rPr>
                      <w:rFonts w:ascii="黑体" w:eastAsia="黑体" w:hAnsi="黑体"/>
                      <w:b/>
                      <w:bCs/>
                      <w:sz w:val="24"/>
                      <w:szCs w:val="24"/>
                    </w:rPr>
                  </w:pPr>
                  <w:r>
                    <w:rPr>
                      <w:rFonts w:ascii="黑体" w:eastAsia="黑体" w:hAnsi="黑体" w:hint="eastAsia"/>
                      <w:b/>
                      <w:bCs/>
                      <w:sz w:val="24"/>
                      <w:szCs w:val="24"/>
                    </w:rPr>
                    <w:t>第一步：提交电子材料</w:t>
                  </w:r>
                </w:p>
                <w:p w:rsidR="00E37845" w:rsidRDefault="00E22BDD">
                  <w:pPr>
                    <w:jc w:val="left"/>
                    <w:rPr>
                      <w:rFonts w:ascii="仿宋_GB2312" w:eastAsia="仿宋_GB2312"/>
                      <w:b/>
                      <w:bCs/>
                      <w:sz w:val="28"/>
                      <w:szCs w:val="28"/>
                    </w:rPr>
                  </w:pPr>
                  <w:r>
                    <w:rPr>
                      <w:rFonts w:ascii="仿宋_GB2312" w:eastAsia="仿宋_GB2312" w:hint="eastAsia"/>
                    </w:rPr>
                    <w:t>申请人按材料清单及要求发电子材料给人事科405邱老师（需做职称核查的，先到邱老师处领取职称协查表）。</w:t>
                  </w:r>
                </w:p>
              </w:txbxContent>
            </v:textbox>
          </v:shape>
        </w:pict>
      </w:r>
    </w:p>
    <w:p w:rsidR="00E37845" w:rsidRDefault="00E37845">
      <w:pPr>
        <w:autoSpaceDE w:val="0"/>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p>
    <w:p w:rsidR="00E37845" w:rsidRDefault="00E37845">
      <w:pPr>
        <w:autoSpaceDE w:val="0"/>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p>
    <w:p w:rsidR="00E37845" w:rsidRDefault="00E37845">
      <w:pPr>
        <w:autoSpaceDE w:val="0"/>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br w:type="page"/>
      </w:r>
    </w:p>
    <w:p w:rsidR="00E37845" w:rsidRDefault="00E22BDD">
      <w:pPr>
        <w:autoSpaceDE w:val="0"/>
        <w:adjustRightInd w:val="0"/>
        <w:snapToGrid w:val="0"/>
        <w:spacing w:beforeLines="50" w:before="156" w:afterLines="50" w:after="156" w:line="360" w:lineRule="auto"/>
        <w:rPr>
          <w:rFonts w:ascii="仿宋_GB2312" w:eastAsia="仿宋_GB2312" w:hAnsi="仿宋_GB2312" w:cs="仿宋_GB2312"/>
          <w:b/>
          <w:bCs/>
          <w:color w:val="000000" w:themeColor="text1"/>
          <w:sz w:val="24"/>
          <w:szCs w:val="24"/>
        </w:rPr>
      </w:pPr>
      <w:r>
        <w:rPr>
          <w:rFonts w:ascii="黑体" w:eastAsia="黑体" w:hAnsi="黑体" w:cs="黑体" w:hint="eastAsia"/>
          <w:b/>
          <w:bCs/>
          <w:color w:val="000000" w:themeColor="text1"/>
          <w:sz w:val="24"/>
          <w:szCs w:val="24"/>
        </w:rPr>
        <w:lastRenderedPageBreak/>
        <w:t>附件五：广州市内在职调动流程（户口在广州市）</w:t>
      </w:r>
    </w:p>
    <w:p w:rsidR="00E37845" w:rsidRDefault="001B499F">
      <w:pPr>
        <w:adjustRightInd w:val="0"/>
        <w:snapToGrid w:val="0"/>
        <w:spacing w:line="360" w:lineRule="auto"/>
        <w:ind w:firstLineChars="200" w:firstLine="420"/>
        <w:jc w:val="center"/>
        <w:rPr>
          <w:rFonts w:ascii="仿宋_GB2312" w:eastAsia="仿宋_GB2312" w:hAnsi="仿宋_GB2312" w:cs="仿宋_GB2312"/>
          <w:color w:val="000000" w:themeColor="text1"/>
          <w:sz w:val="24"/>
          <w:szCs w:val="24"/>
        </w:rPr>
      </w:pPr>
      <w:r>
        <w:pict>
          <v:shape id="_x0000_s1031" type="#_x0000_t202" style="position:absolute;left:0;text-align:left;margin-left:-3.45pt;margin-top:16pt;width:417pt;height:75.2pt;z-index:251683328;mso-width-relative:page;mso-height-relative:page" o:gfxdata="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zY6VV1gAAAAkBAAAPAAAA&#10;AAAAAAEAIAAAACIAAABkcnMvZG93bnJldi54bWxQSwECFAAUAAAACACHTuJAbyfIXVACAACFBAAA&#10;DgAAAAAAAAABACAAAAAlAQAAZHJzL2Uyb0RvYy54bWxQSwUGAAAAAAYABgBZAQAA5wUAAAAA&#10;" strokeweight=".5pt">
            <v:stroke joinstyle="round"/>
            <v:textbox>
              <w:txbxContent>
                <w:p w:rsidR="00E37845" w:rsidRDefault="00E22BDD">
                  <w:pPr>
                    <w:rPr>
                      <w:b/>
                      <w:bCs/>
                      <w:sz w:val="24"/>
                      <w:szCs w:val="24"/>
                    </w:rPr>
                  </w:pPr>
                  <w:r>
                    <w:rPr>
                      <w:rFonts w:hint="eastAsia"/>
                      <w:b/>
                      <w:bCs/>
                      <w:sz w:val="24"/>
                      <w:szCs w:val="24"/>
                    </w:rPr>
                    <w:t>一、开调档函</w:t>
                  </w:r>
                </w:p>
                <w:p w:rsidR="00E37845" w:rsidRDefault="00E22BDD">
                  <w:pPr>
                    <w:rPr>
                      <w:rFonts w:ascii="仿宋_GB2312" w:eastAsia="仿宋_GB2312" w:hAnsi="仿宋_GB2312" w:cs="仿宋_GB2312"/>
                    </w:rPr>
                  </w:pPr>
                  <w:r>
                    <w:rPr>
                      <w:rFonts w:ascii="仿宋_GB2312" w:eastAsia="仿宋_GB2312" w:hAnsi="仿宋_GB2312" w:cs="仿宋_GB2312" w:hint="eastAsia"/>
                    </w:rPr>
                    <w:t>拿计生证明及考察表到人事科邱老师处开调档案将档案调入广大</w:t>
                  </w:r>
                </w:p>
                <w:p w:rsidR="00E37845" w:rsidRDefault="00E22BDD">
                  <w:pPr>
                    <w:rPr>
                      <w:rFonts w:ascii="仿宋_GB2312" w:eastAsia="仿宋_GB2312" w:hAnsi="仿宋_GB2312" w:cs="仿宋_GB2312"/>
                    </w:rPr>
                  </w:pPr>
                  <w:r>
                    <w:rPr>
                      <w:rFonts w:ascii="仿宋_GB2312" w:eastAsia="仿宋_GB2312" w:hAnsi="仿宋_GB2312" w:cs="仿宋_GB2312" w:hint="eastAsia"/>
                    </w:rPr>
                    <w:t>地点：行政西后座405</w:t>
                  </w:r>
                </w:p>
                <w:p w:rsidR="00E37845" w:rsidRDefault="00E22BDD">
                  <w:pPr>
                    <w:rPr>
                      <w:rFonts w:ascii="仿宋_GB2312" w:eastAsia="仿宋_GB2312" w:hAnsi="仿宋_GB2312" w:cs="仿宋_GB2312"/>
                    </w:rPr>
                  </w:pPr>
                  <w:r>
                    <w:rPr>
                      <w:rFonts w:ascii="仿宋_GB2312" w:eastAsia="仿宋_GB2312" w:hAnsi="仿宋_GB2312" w:cs="仿宋_GB2312" w:hint="eastAsia"/>
                    </w:rPr>
                    <w:t>电话：020-39366207</w:t>
                  </w:r>
                </w:p>
              </w:txbxContent>
            </v:textbox>
          </v:shape>
        </w:pict>
      </w:r>
      <w:r>
        <w:pict>
          <v:shape id="_x0000_s1032" type="#_x0000_t202" style="position:absolute;left:0;text-align:left;margin-left:-4.2pt;margin-top:196.55pt;width:417pt;height:70pt;z-index:251685376;mso-width-relative:page;mso-height-relative:page" o:gfxdata="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k8IXq1wAAAAoBAAAPAAAA&#10;AAAAAAEAIAAAACIAAABkcnMvZG93bnJldi54bWxQSwECFAAUAAAACACHTuJAyYb+gE8CAACFBAAA&#10;DgAAAAAAAAABACAAAAAmAQAAZHJzL2Uyb0RvYy54bWxQSwUGAAAAAAYABgBZAQAA5wUAAAAA&#10;" strokeweight=".5pt">
            <v:stroke joinstyle="round"/>
            <v:textbox>
              <w:txbxContent>
                <w:p w:rsidR="00E37845" w:rsidRDefault="00E22BDD">
                  <w:pPr>
                    <w:rPr>
                      <w:b/>
                      <w:bCs/>
                      <w:sz w:val="24"/>
                      <w:szCs w:val="24"/>
                    </w:rPr>
                  </w:pPr>
                  <w:r>
                    <w:rPr>
                      <w:rFonts w:hint="eastAsia"/>
                      <w:b/>
                      <w:bCs/>
                      <w:sz w:val="24"/>
                      <w:szCs w:val="24"/>
                    </w:rPr>
                    <w:t>三、开商调函</w:t>
                  </w:r>
                </w:p>
                <w:p w:rsidR="00E37845" w:rsidRDefault="00E22BDD">
                  <w:pPr>
                    <w:rPr>
                      <w:rFonts w:ascii="仿宋_GB2312" w:eastAsia="仿宋_GB2312" w:hAnsi="仿宋_GB2312" w:cs="仿宋_GB2312"/>
                    </w:rPr>
                  </w:pPr>
                  <w:r>
                    <w:rPr>
                      <w:rFonts w:ascii="仿宋_GB2312" w:eastAsia="仿宋_GB2312" w:hAnsi="仿宋_GB2312" w:cs="仿宋_GB2312" w:hint="eastAsia"/>
                    </w:rPr>
                    <w:t>档案到校，增人卡已批后到人事科邱老师处开商调函</w:t>
                  </w:r>
                </w:p>
                <w:p w:rsidR="00E37845" w:rsidRDefault="00E22BDD">
                  <w:pPr>
                    <w:rPr>
                      <w:rFonts w:ascii="仿宋_GB2312" w:eastAsia="仿宋_GB2312" w:hAnsi="仿宋_GB2312" w:cs="仿宋_GB2312"/>
                    </w:rPr>
                  </w:pPr>
                  <w:r>
                    <w:rPr>
                      <w:rFonts w:ascii="仿宋_GB2312" w:eastAsia="仿宋_GB2312" w:hAnsi="仿宋_GB2312" w:cs="仿宋_GB2312" w:hint="eastAsia"/>
                    </w:rPr>
                    <w:t>地点：行政西后座405</w:t>
                  </w:r>
                </w:p>
                <w:p w:rsidR="00E37845" w:rsidRDefault="00E22BDD">
                  <w:pPr>
                    <w:rPr>
                      <w:rFonts w:ascii="仿宋_GB2312" w:eastAsia="仿宋_GB2312" w:hAnsi="仿宋_GB2312" w:cs="仿宋_GB2312"/>
                    </w:rPr>
                  </w:pPr>
                  <w:r>
                    <w:rPr>
                      <w:rFonts w:ascii="仿宋_GB2312" w:eastAsia="仿宋_GB2312" w:hAnsi="仿宋_GB2312" w:cs="仿宋_GB2312" w:hint="eastAsia"/>
                    </w:rPr>
                    <w:t>电话：020-39366207</w:t>
                  </w:r>
                </w:p>
                <w:p w:rsidR="00E37845" w:rsidRDefault="00E37845"/>
              </w:txbxContent>
            </v:textbox>
          </v:shape>
        </w:pict>
      </w:r>
    </w:p>
    <w:p w:rsidR="00E37845" w:rsidRDefault="00E37845">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p>
    <w:p w:rsidR="00E37845" w:rsidRDefault="001B499F">
      <w:pPr>
        <w:adjustRightInd w:val="0"/>
        <w:snapToGrid w:val="0"/>
        <w:spacing w:line="360" w:lineRule="auto"/>
        <w:ind w:firstLineChars="200" w:firstLine="420"/>
        <w:rPr>
          <w:rFonts w:ascii="仿宋_GB2312" w:eastAsia="仿宋_GB2312" w:hAnsi="仿宋_GB2312" w:cs="仿宋_GB2312"/>
          <w:color w:val="000000" w:themeColor="text1"/>
          <w:sz w:val="24"/>
          <w:szCs w:val="24"/>
        </w:rPr>
      </w:pPr>
      <w:r>
        <w:pict>
          <v:shape id="_x0000_s1033" type="#_x0000_t202" style="position:absolute;left:0;text-align:left;margin-left:-5.7pt;margin-top:236.2pt;width:417pt;height:88.1pt;z-index:251686400;mso-width-relative:page;mso-height-relative:page" o:gfxdata="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3MqBtgAAAALAQAA&#10;DwAAAAAAAAABACAAAAAiAAAAZHJzL2Rvd25yZXYueG1sUEsBAhQAFAAAAAgAh07iQIPq035SAgAA&#10;hgQAAA4AAAAAAAAAAQAgAAAAJwEAAGRycy9lMm9Eb2MueG1sUEsFBgAAAAAGAAYAWQEAAOsFAAAA&#10;AA==&#10;" strokeweight=".5pt">
            <v:stroke joinstyle="round"/>
            <v:textbox>
              <w:txbxContent>
                <w:p w:rsidR="00E37845" w:rsidRDefault="00E22BDD">
                  <w:pPr>
                    <w:rPr>
                      <w:b/>
                      <w:bCs/>
                      <w:sz w:val="24"/>
                      <w:szCs w:val="24"/>
                    </w:rPr>
                  </w:pPr>
                  <w:r>
                    <w:rPr>
                      <w:rFonts w:hint="eastAsia"/>
                      <w:b/>
                      <w:bCs/>
                      <w:sz w:val="24"/>
                      <w:szCs w:val="24"/>
                    </w:rPr>
                    <w:t>四、办理调动及报到</w:t>
                  </w:r>
                </w:p>
                <w:p w:rsidR="00E37845" w:rsidRDefault="00E22BDD">
                  <w:pPr>
                    <w:rPr>
                      <w:rFonts w:ascii="仿宋_GB2312" w:eastAsia="仿宋_GB2312" w:hAnsi="仿宋_GB2312" w:cs="仿宋_GB2312"/>
                    </w:rPr>
                  </w:pPr>
                  <w:r>
                    <w:rPr>
                      <w:rFonts w:ascii="仿宋_GB2312" w:eastAsia="仿宋_GB2312" w:hAnsi="仿宋_GB2312" w:cs="仿宋_GB2312" w:hint="eastAsia"/>
                    </w:rPr>
                    <w:t>拿商调函到原单位开具组织关系、工资关系及行政关系转移介绍信后，到人事科张老师处报到</w:t>
                  </w:r>
                </w:p>
                <w:p w:rsidR="00E37845" w:rsidRDefault="00E22BDD">
                  <w:pPr>
                    <w:rPr>
                      <w:rFonts w:ascii="仿宋_GB2312" w:eastAsia="仿宋_GB2312" w:hAnsi="仿宋_GB2312" w:cs="仿宋_GB2312"/>
                    </w:rPr>
                  </w:pPr>
                  <w:r>
                    <w:rPr>
                      <w:rFonts w:ascii="仿宋_GB2312" w:eastAsia="仿宋_GB2312" w:hAnsi="仿宋_GB2312" w:cs="仿宋_GB2312" w:hint="eastAsia"/>
                    </w:rPr>
                    <w:t>地点：行政西后座405</w:t>
                  </w:r>
                </w:p>
                <w:p w:rsidR="00E37845" w:rsidRDefault="00E22BDD">
                  <w:pPr>
                    <w:rPr>
                      <w:rFonts w:ascii="仿宋_GB2312" w:eastAsia="仿宋_GB2312" w:hAnsi="仿宋_GB2312" w:cs="仿宋_GB2312"/>
                    </w:rPr>
                  </w:pPr>
                  <w:r>
                    <w:rPr>
                      <w:rFonts w:ascii="仿宋_GB2312" w:eastAsia="仿宋_GB2312" w:hAnsi="仿宋_GB2312" w:cs="仿宋_GB2312" w:hint="eastAsia"/>
                    </w:rPr>
                    <w:t>电话：020-39366207</w:t>
                  </w:r>
                </w:p>
                <w:p w:rsidR="00E37845" w:rsidRDefault="00E37845"/>
                <w:p w:rsidR="00E37845" w:rsidRDefault="00E37845"/>
              </w:txbxContent>
            </v:textbox>
          </v:shape>
        </w:pict>
      </w:r>
      <w:r>
        <w:pict>
          <v:shape id="_x0000_s1034" type="#_x0000_t202" style="position:absolute;left:0;text-align:left;margin-left:-2.7pt;margin-top:58.95pt;width:417pt;height:74.5pt;z-index:251684352;mso-width-relative:page;mso-height-relative:page" o:gfxdata="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eoEkvXAAAACgEAAA8A&#10;AAAAAAAAAQAgAAAAIgAAAGRycy9kb3ducmV2LnhtbFBLAQIUABQAAAAIAIdO4kA+cpj0UQIAAIUE&#10;AAAOAAAAAAAAAAEAIAAAACYBAABkcnMvZTJvRG9jLnhtbFBLBQYAAAAABgAGAFkBAADpBQAAAAA=&#10;" strokeweight=".5pt">
            <v:stroke joinstyle="round"/>
            <v:textbox>
              <w:txbxContent>
                <w:p w:rsidR="00E37845" w:rsidRDefault="00E22BDD">
                  <w:pPr>
                    <w:rPr>
                      <w:b/>
                      <w:bCs/>
                      <w:sz w:val="24"/>
                      <w:szCs w:val="24"/>
                    </w:rPr>
                  </w:pPr>
                  <w:r>
                    <w:rPr>
                      <w:rFonts w:hint="eastAsia"/>
                      <w:b/>
                      <w:bCs/>
                      <w:sz w:val="24"/>
                      <w:szCs w:val="24"/>
                    </w:rPr>
                    <w:t>二、办理增人卡</w:t>
                  </w:r>
                </w:p>
                <w:p w:rsidR="00E37845" w:rsidRDefault="00E22BDD">
                  <w:pPr>
                    <w:rPr>
                      <w:rFonts w:ascii="仿宋_GB2312" w:eastAsia="仿宋_GB2312" w:hAnsi="仿宋_GB2312" w:cs="仿宋_GB2312"/>
                    </w:rPr>
                  </w:pPr>
                  <w:r>
                    <w:rPr>
                      <w:rFonts w:ascii="仿宋_GB2312" w:eastAsia="仿宋_GB2312" w:hAnsi="仿宋_GB2312" w:cs="仿宋_GB2312" w:hint="eastAsia"/>
                    </w:rPr>
                    <w:t>按相关材料清单及要求提交增人卡材料给人事科邱老师办理增人卡手续</w:t>
                  </w:r>
                </w:p>
                <w:p w:rsidR="00E37845" w:rsidRDefault="00E22BDD">
                  <w:pPr>
                    <w:rPr>
                      <w:rFonts w:ascii="仿宋_GB2312" w:eastAsia="仿宋_GB2312" w:hAnsi="仿宋_GB2312" w:cs="仿宋_GB2312"/>
                    </w:rPr>
                  </w:pPr>
                  <w:r>
                    <w:rPr>
                      <w:rFonts w:ascii="仿宋_GB2312" w:eastAsia="仿宋_GB2312" w:hAnsi="仿宋_GB2312" w:cs="仿宋_GB2312" w:hint="eastAsia"/>
                    </w:rPr>
                    <w:t>地点：行政西后座405</w:t>
                  </w:r>
                </w:p>
                <w:p w:rsidR="00E37845" w:rsidRDefault="00E22BDD">
                  <w:pPr>
                    <w:rPr>
                      <w:rFonts w:ascii="仿宋_GB2312" w:eastAsia="仿宋_GB2312" w:hAnsi="仿宋_GB2312" w:cs="仿宋_GB2312"/>
                    </w:rPr>
                  </w:pPr>
                  <w:r>
                    <w:rPr>
                      <w:rFonts w:ascii="仿宋_GB2312" w:eastAsia="仿宋_GB2312" w:hAnsi="仿宋_GB2312" w:cs="仿宋_GB2312" w:hint="eastAsia"/>
                    </w:rPr>
                    <w:t>电话：020-39366207</w:t>
                  </w:r>
                </w:p>
                <w:p w:rsidR="00E37845" w:rsidRDefault="00E37845"/>
              </w:txbxContent>
            </v:textbox>
          </v:shape>
        </w:pict>
      </w:r>
      <w:r w:rsidR="00E22BDD">
        <w:rPr>
          <w:rFonts w:ascii="仿宋_GB2312" w:eastAsia="仿宋_GB2312" w:hAnsi="仿宋_GB2312" w:cs="仿宋_GB2312"/>
          <w:color w:val="000000" w:themeColor="text1"/>
          <w:sz w:val="24"/>
          <w:szCs w:val="24"/>
        </w:rPr>
        <w:br w:type="page"/>
      </w:r>
    </w:p>
    <w:p w:rsidR="00E37845" w:rsidRDefault="00E22BDD">
      <w:pPr>
        <w:autoSpaceDE w:val="0"/>
        <w:adjustRightInd w:val="0"/>
        <w:snapToGrid w:val="0"/>
        <w:spacing w:line="360" w:lineRule="auto"/>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lastRenderedPageBreak/>
        <w:t>附件六：外省市新出站博士后落户广州市流程</w:t>
      </w: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办完增人卡后：</w:t>
      </w:r>
    </w:p>
    <w:p w:rsidR="00E37845" w:rsidRDefault="001B499F">
      <w:pPr>
        <w:adjustRightInd w:val="0"/>
        <w:snapToGrid w:val="0"/>
        <w:spacing w:line="360" w:lineRule="auto"/>
        <w:ind w:firstLineChars="200" w:firstLine="420"/>
        <w:rPr>
          <w:rFonts w:ascii="仿宋_GB2312" w:eastAsia="仿宋_GB2312" w:hAnsi="仿宋_GB2312" w:cs="仿宋_GB2312"/>
          <w:color w:val="000000" w:themeColor="text1"/>
          <w:sz w:val="24"/>
          <w:szCs w:val="24"/>
        </w:rPr>
      </w:pPr>
      <w:r>
        <w:pict>
          <v:shape id="_x0000_s1035" type="#_x0000_t202" style="position:absolute;left:0;text-align:left;margin-left:-1.2pt;margin-top:19pt;width:417pt;height:73.9pt;z-index:251687424;mso-width-relative:page;mso-height-relative:page" o:gfxdata="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DqM3y1gAAAAkBAAAPAAAA&#10;AAAAAAEAIAAAACIAAABkcnMvZG93bnJldi54bWxQSwECFAAUAAAACACHTuJAldurZlACAACFBAAA&#10;DgAAAAAAAAABACAAAAAlAQAAZHJzL2Uyb0RvYy54bWxQSwUGAAAAAAYABgBZAQAA5wUAAAAA&#10;" strokeweight=".5pt">
            <v:stroke joinstyle="round"/>
            <v:textbox>
              <w:txbxContent>
                <w:p w:rsidR="00E37845" w:rsidRDefault="00E22BDD">
                  <w:pPr>
                    <w:rPr>
                      <w:rFonts w:ascii="黑体" w:eastAsia="黑体" w:hAnsi="黑体" w:cs="黑体"/>
                      <w:b/>
                      <w:bCs/>
                      <w:sz w:val="24"/>
                      <w:szCs w:val="24"/>
                    </w:rPr>
                  </w:pPr>
                  <w:r>
                    <w:rPr>
                      <w:rFonts w:ascii="黑体" w:eastAsia="黑体" w:hAnsi="黑体" w:cs="黑体" w:hint="eastAsia"/>
                      <w:b/>
                      <w:bCs/>
                      <w:sz w:val="24"/>
                      <w:szCs w:val="24"/>
                    </w:rPr>
                    <w:t>一、开广州市落户介绍信</w:t>
                  </w:r>
                </w:p>
                <w:p w:rsidR="00E37845" w:rsidRDefault="00E22BDD">
                  <w:pPr>
                    <w:rPr>
                      <w:rFonts w:ascii="仿宋_GB2312" w:eastAsia="仿宋_GB2312" w:hAnsi="仿宋_GB2312" w:cs="仿宋_GB2312"/>
                    </w:rPr>
                  </w:pPr>
                  <w:r>
                    <w:rPr>
                      <w:rFonts w:ascii="仿宋_GB2312" w:eastAsia="仿宋_GB2312" w:hAnsi="仿宋_GB2312" w:cs="仿宋_GB2312" w:hint="eastAsia"/>
                    </w:rPr>
                    <w:t>拿外省市博士后工作介绍信到广东省人社厅开具落户介绍信</w:t>
                  </w:r>
                </w:p>
                <w:p w:rsidR="00E37845" w:rsidRDefault="00E22BDD">
                  <w:pPr>
                    <w:rPr>
                      <w:rFonts w:ascii="仿宋_GB2312" w:eastAsia="仿宋_GB2312" w:hAnsi="仿宋_GB2312" w:cs="仿宋_GB2312"/>
                    </w:rPr>
                  </w:pPr>
                  <w:r>
                    <w:rPr>
                      <w:rFonts w:ascii="仿宋_GB2312" w:eastAsia="仿宋_GB2312" w:hAnsi="仿宋_GB2312" w:cs="仿宋_GB2312" w:hint="eastAsia"/>
                    </w:rPr>
                    <w:t>地点：广州市东风中路483粤财大厦36楼3614专机处</w:t>
                  </w:r>
                </w:p>
                <w:p w:rsidR="00E37845" w:rsidRDefault="00E22BDD">
                  <w:pPr>
                    <w:rPr>
                      <w:rFonts w:ascii="仿宋_GB2312" w:eastAsia="仿宋_GB2312" w:hAnsi="仿宋_GB2312" w:cs="仿宋_GB2312"/>
                    </w:rPr>
                  </w:pPr>
                  <w:r>
                    <w:rPr>
                      <w:rFonts w:ascii="仿宋_GB2312" w:eastAsia="仿宋_GB2312" w:hAnsi="仿宋_GB2312" w:cs="仿宋_GB2312" w:hint="eastAsia"/>
                    </w:rPr>
                    <w:t>电话：020-83354905</w:t>
                  </w:r>
                </w:p>
              </w:txbxContent>
            </v:textbox>
          </v:shape>
        </w:pict>
      </w:r>
      <w:r>
        <w:pict>
          <v:shape id="_x0000_s1036" type="#_x0000_t202" style="position:absolute;left:0;text-align:left;margin-left:-1.2pt;margin-top:272.2pt;width:417pt;height:87.95pt;z-index:251691520;mso-width-relative:page;mso-height-relative:page" o:gfxdata="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5hB39gAAAAKAQAADwAA&#10;AAAAAAABACAAAAAiAAAAZHJzL2Rvd25yZXYueG1sUEsBAhQAFAAAAAgAh07iQC0K/YRPAgAAhgQA&#10;AA4AAAAAAAAAAQAgAAAAJwEAAGRycy9lMm9Eb2MueG1sUEsFBgAAAAAGAAYAWQEAAOgFAAAAAA==&#10;" strokeweight=".5pt">
            <v:stroke joinstyle="round"/>
            <v:textbox>
              <w:txbxContent>
                <w:p w:rsidR="00E37845" w:rsidRDefault="00E22BDD">
                  <w:pPr>
                    <w:rPr>
                      <w:b/>
                      <w:bCs/>
                      <w:sz w:val="32"/>
                      <w:szCs w:val="32"/>
                    </w:rPr>
                  </w:pPr>
                  <w:r>
                    <w:rPr>
                      <w:rFonts w:ascii="黑体" w:eastAsia="黑体" w:hAnsi="黑体" w:cs="黑体" w:hint="eastAsia"/>
                      <w:b/>
                      <w:bCs/>
                      <w:sz w:val="24"/>
                      <w:szCs w:val="24"/>
                    </w:rPr>
                    <w:t>四、办理落户</w:t>
                  </w:r>
                </w:p>
                <w:p w:rsidR="00E37845" w:rsidRDefault="00E22BDD">
                  <w:pPr>
                    <w:rPr>
                      <w:rFonts w:ascii="仿宋_GB2312" w:eastAsia="仿宋_GB2312" w:hAnsi="仿宋_GB2312" w:cs="仿宋_GB2312"/>
                    </w:rPr>
                  </w:pPr>
                  <w:r>
                    <w:rPr>
                      <w:rFonts w:ascii="仿宋_GB2312" w:eastAsia="仿宋_GB2312" w:hAnsi="仿宋_GB2312" w:cs="仿宋_GB2312" w:hint="eastAsia"/>
                    </w:rPr>
                    <w:t>凭户口迁移证+人事科405邱老师开的工作接收函到广大户籍科取集体户口落户证明和序号，然后到番禺区小谷围派出所办理户口个人页交户籍科</w:t>
                  </w:r>
                </w:p>
                <w:p w:rsidR="00E37845" w:rsidRDefault="00E22BDD">
                  <w:pPr>
                    <w:rPr>
                      <w:rFonts w:ascii="仿宋_GB2312" w:eastAsia="仿宋_GB2312" w:hAnsi="仿宋_GB2312" w:cs="仿宋_GB2312"/>
                    </w:rPr>
                  </w:pPr>
                  <w:r>
                    <w:rPr>
                      <w:rFonts w:ascii="仿宋_GB2312" w:eastAsia="仿宋_GB2312" w:hAnsi="仿宋_GB2312" w:cs="仿宋_GB2312" w:hint="eastAsia"/>
                    </w:rPr>
                    <w:t>地点：小谷围派出所在大学城南站附近</w:t>
                  </w:r>
                </w:p>
                <w:p w:rsidR="00E37845" w:rsidRDefault="00E22BDD">
                  <w:pPr>
                    <w:rPr>
                      <w:rFonts w:ascii="仿宋_GB2312" w:eastAsia="仿宋_GB2312" w:hAnsi="仿宋_GB2312" w:cs="仿宋_GB2312"/>
                    </w:rPr>
                  </w:pPr>
                  <w:r>
                    <w:rPr>
                      <w:rFonts w:ascii="仿宋_GB2312" w:eastAsia="仿宋_GB2312" w:hAnsi="仿宋_GB2312" w:cs="仿宋_GB2312" w:hint="eastAsia"/>
                    </w:rPr>
                    <w:t>电话：小谷围派出所020-84720100</w:t>
                  </w:r>
                </w:p>
              </w:txbxContent>
            </v:textbox>
          </v:shape>
        </w:pict>
      </w:r>
    </w:p>
    <w:p w:rsidR="00E37845" w:rsidRDefault="001B499F">
      <w:pPr>
        <w:adjustRightInd w:val="0"/>
        <w:snapToGrid w:val="0"/>
        <w:spacing w:line="360" w:lineRule="auto"/>
        <w:ind w:firstLineChars="200" w:firstLine="420"/>
        <w:rPr>
          <w:rFonts w:ascii="仿宋_GB2312" w:eastAsia="仿宋_GB2312" w:hAnsi="仿宋_GB2312" w:cs="仿宋_GB2312"/>
          <w:color w:val="000000" w:themeColor="text1"/>
          <w:sz w:val="24"/>
          <w:szCs w:val="24"/>
        </w:rPr>
      </w:pPr>
      <w:r>
        <w:pict>
          <v:shape id="_x0000_s1037" type="#_x0000_t202" style="position:absolute;left:0;text-align:left;margin-left:-2.7pt;margin-top:81.5pt;width:417pt;height:88.7pt;z-index:251688448;mso-width-relative:page;mso-height-relative:page" o:gfxdata="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Es94+1gAAAAoBAAAPAAAA&#10;AAAAAAEAIAAAACIAAABkcnMvZG93bnJldi54bWxQSwECFAAUAAAACACHTuJAd1osc1ACAACGBAAA&#10;DgAAAAAAAAABACAAAAAlAQAAZHJzL2Uyb0RvYy54bWxQSwUGAAAAAAYABgBZAQAA5wUAAAAA&#10;" strokeweight=".5pt">
            <v:stroke joinstyle="round"/>
            <v:textbox>
              <w:txbxContent>
                <w:p w:rsidR="00E37845" w:rsidRDefault="00E22BDD">
                  <w:pPr>
                    <w:rPr>
                      <w:rFonts w:ascii="黑体" w:eastAsia="黑体" w:hAnsi="黑体" w:cs="黑体"/>
                      <w:b/>
                      <w:bCs/>
                      <w:sz w:val="24"/>
                      <w:szCs w:val="24"/>
                    </w:rPr>
                  </w:pPr>
                  <w:r>
                    <w:rPr>
                      <w:rFonts w:ascii="黑体" w:eastAsia="黑体" w:hAnsi="黑体" w:cs="黑体" w:hint="eastAsia"/>
                      <w:b/>
                      <w:bCs/>
                      <w:sz w:val="24"/>
                      <w:szCs w:val="24"/>
                    </w:rPr>
                    <w:t>二、开落户准迁证</w:t>
                  </w:r>
                </w:p>
                <w:p w:rsidR="00E37845" w:rsidRDefault="00E22BDD">
                  <w:pPr>
                    <w:rPr>
                      <w:rFonts w:ascii="仿宋_GB2312" w:eastAsia="仿宋_GB2312" w:hAnsi="仿宋_GB2312" w:cs="仿宋_GB2312"/>
                    </w:rPr>
                  </w:pPr>
                  <w:r>
                    <w:rPr>
                      <w:rFonts w:ascii="仿宋_GB2312" w:eastAsia="仿宋_GB2312" w:hAnsi="仿宋_GB2312" w:cs="仿宋_GB2312" w:hint="eastAsia"/>
                    </w:rPr>
                    <w:t>拿广东省人社厅的落户介绍信到番禺区办证中心开落户准入证明（建议先在广州公安微信公众号上预约）</w:t>
                  </w:r>
                </w:p>
                <w:p w:rsidR="00E37845" w:rsidRDefault="00E22BDD">
                  <w:pPr>
                    <w:rPr>
                      <w:rFonts w:ascii="仿宋_GB2312" w:eastAsia="仿宋_GB2312" w:hAnsi="仿宋_GB2312" w:cs="仿宋_GB2312"/>
                    </w:rPr>
                  </w:pPr>
                  <w:r>
                    <w:rPr>
                      <w:rFonts w:ascii="仿宋_GB2312" w:eastAsia="仿宋_GB2312" w:hAnsi="仿宋_GB2312" w:cs="仿宋_GB2312" w:hint="eastAsia"/>
                    </w:rPr>
                    <w:t>地点：番禺区富华东路155号二楼</w:t>
                  </w:r>
                </w:p>
                <w:p w:rsidR="00E37845" w:rsidRDefault="00E22BDD">
                  <w:pPr>
                    <w:rPr>
                      <w:rFonts w:ascii="仿宋_GB2312" w:eastAsia="仿宋_GB2312" w:hAnsi="仿宋_GB2312" w:cs="仿宋_GB2312"/>
                    </w:rPr>
                  </w:pPr>
                  <w:r>
                    <w:rPr>
                      <w:rFonts w:ascii="仿宋_GB2312" w:eastAsia="仿宋_GB2312" w:hAnsi="仿宋_GB2312" w:cs="仿宋_GB2312" w:hint="eastAsia"/>
                    </w:rPr>
                    <w:t>电话：020-34808744</w:t>
                  </w:r>
                </w:p>
              </w:txbxContent>
            </v:textbox>
          </v:shape>
        </w:pict>
      </w:r>
      <w:r>
        <w:pict>
          <v:shape id="_x0000_s1038" type="#_x0000_t202" style="position:absolute;left:0;text-align:left;margin-left:-3.45pt;margin-top:188.1pt;width:417pt;height:43.85pt;z-index:251689472;mso-width-relative:page;mso-height-relative:page" o:gfxdata="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tRkRDYAAAACgEAAA8A&#10;AAAAAAAAAQAgAAAAIgAAAGRycy9kb3ducmV2LnhtbFBLAQIUABQAAAAIAIdO4kA0kAUmUAIAAIUE&#10;AAAOAAAAAAAAAAEAIAAAACcBAABkcnMvZTJvRG9jLnhtbFBLBQYAAAAABgAGAFkBAADpBQAAAAA=&#10;" strokeweight=".5pt">
            <v:stroke joinstyle="round"/>
            <v:textbox>
              <w:txbxContent>
                <w:p w:rsidR="00E37845" w:rsidRDefault="00E22BDD">
                  <w:pPr>
                    <w:rPr>
                      <w:rFonts w:ascii="黑体" w:eastAsia="黑体" w:hAnsi="黑体" w:cs="黑体"/>
                      <w:b/>
                      <w:bCs/>
                      <w:sz w:val="24"/>
                      <w:szCs w:val="24"/>
                    </w:rPr>
                  </w:pPr>
                  <w:r>
                    <w:rPr>
                      <w:rFonts w:ascii="黑体" w:eastAsia="黑体" w:hAnsi="黑体" w:cs="黑体" w:hint="eastAsia"/>
                      <w:b/>
                      <w:bCs/>
                      <w:sz w:val="24"/>
                      <w:szCs w:val="24"/>
                    </w:rPr>
                    <w:t>三、办户口迁移证</w:t>
                  </w:r>
                </w:p>
                <w:p w:rsidR="00E37845" w:rsidRDefault="00E22BDD">
                  <w:pPr>
                    <w:rPr>
                      <w:rFonts w:ascii="仿宋_GB2312" w:eastAsia="仿宋_GB2312" w:hAnsi="仿宋_GB2312" w:cs="仿宋_GB2312"/>
                    </w:rPr>
                  </w:pPr>
                  <w:r>
                    <w:rPr>
                      <w:rFonts w:ascii="仿宋_GB2312" w:eastAsia="仿宋_GB2312" w:hAnsi="仿宋_GB2312" w:cs="仿宋_GB2312" w:hint="eastAsia"/>
                    </w:rPr>
                    <w:t>拿开好的落户准入证明到原户口所在地办理户口迁移证</w:t>
                  </w:r>
                </w:p>
              </w:txbxContent>
            </v:textbox>
          </v:shape>
        </w:pict>
      </w:r>
      <w:r w:rsidR="00E22BDD">
        <w:rPr>
          <w:rFonts w:ascii="仿宋_GB2312" w:eastAsia="仿宋_GB2312" w:hAnsi="仿宋_GB2312" w:cs="仿宋_GB2312"/>
          <w:color w:val="000000" w:themeColor="text1"/>
          <w:sz w:val="24"/>
          <w:szCs w:val="24"/>
        </w:rPr>
        <w:br w:type="page"/>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476" w:name="_Toc29783"/>
      <w:bookmarkStart w:id="477" w:name="_Toc6421"/>
      <w:bookmarkStart w:id="478" w:name="_Toc8719"/>
      <w:bookmarkStart w:id="479" w:name="_Toc519780942"/>
      <w:bookmarkStart w:id="480" w:name="_Toc3568"/>
      <w:bookmarkStart w:id="481" w:name="_Toc32542"/>
      <w:bookmarkStart w:id="482" w:name="_Toc31432"/>
      <w:bookmarkStart w:id="483" w:name="_Toc26085"/>
      <w:bookmarkStart w:id="484" w:name="_Toc19568"/>
      <w:bookmarkStart w:id="485" w:name="_Toc24718"/>
      <w:bookmarkStart w:id="486" w:name="_Toc2729"/>
      <w:bookmarkStart w:id="487" w:name="_Toc18420"/>
      <w:bookmarkStart w:id="488" w:name="_Toc20838"/>
      <w:bookmarkStart w:id="489" w:name="_Toc27341"/>
      <w:bookmarkStart w:id="490" w:name="_Toc18338"/>
      <w:bookmarkStart w:id="491" w:name="_Toc3557"/>
      <w:bookmarkStart w:id="492" w:name="_Toc6543"/>
      <w:bookmarkStart w:id="493" w:name="_Toc19927"/>
      <w:bookmarkStart w:id="494" w:name="_Toc9708"/>
      <w:bookmarkStart w:id="495" w:name="_Toc9285"/>
      <w:bookmarkStart w:id="496" w:name="_Toc23371"/>
      <w:bookmarkStart w:id="497" w:name="_Toc15988"/>
      <w:bookmarkStart w:id="498" w:name="_Toc26908"/>
      <w:bookmarkStart w:id="499" w:name="_Toc21308"/>
      <w:bookmarkStart w:id="500" w:name="_Toc24810"/>
      <w:bookmarkStart w:id="501" w:name="_Toc28222"/>
      <w:bookmarkStart w:id="502" w:name="_Toc21399"/>
      <w:bookmarkStart w:id="503" w:name="_Toc22220"/>
      <w:bookmarkStart w:id="504" w:name="_Toc26274"/>
      <w:r>
        <w:rPr>
          <w:rFonts w:ascii="黑体" w:eastAsia="黑体" w:hAnsi="黑体" w:cs="黑体"/>
          <w:color w:val="000000" w:themeColor="text1"/>
          <w:sz w:val="28"/>
          <w:szCs w:val="28"/>
        </w:rPr>
        <w:lastRenderedPageBreak/>
        <w:t>4.1.3.2</w:t>
      </w:r>
      <w:r>
        <w:rPr>
          <w:rFonts w:ascii="黑体" w:eastAsia="黑体" w:hAnsi="黑体" w:cs="黑体" w:hint="eastAsia"/>
          <w:color w:val="000000" w:themeColor="text1"/>
          <w:sz w:val="28"/>
          <w:szCs w:val="28"/>
        </w:rPr>
        <w:t>广州大学非事业编制入职手续基本流程</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rsidR="00E37845" w:rsidRDefault="00E22BDD">
      <w:pPr>
        <w:autoSpaceDE w:val="0"/>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一、体检及考察（人才工作科</w:t>
      </w:r>
      <w:r>
        <w:rPr>
          <w:rFonts w:ascii="仿宋_GB2312" w:eastAsia="仿宋_GB2312" w:hAnsi="仿宋_GB2312" w:cs="仿宋_GB2312"/>
          <w:color w:val="000000" w:themeColor="text1"/>
          <w:sz w:val="24"/>
          <w:szCs w:val="24"/>
        </w:rPr>
        <w:t>414</w:t>
      </w:r>
      <w:r>
        <w:rPr>
          <w:rFonts w:ascii="仿宋_GB2312" w:eastAsia="仿宋_GB2312" w:hAnsi="仿宋_GB2312" w:cs="仿宋_GB2312" w:hint="eastAsia"/>
          <w:color w:val="000000" w:themeColor="text1"/>
          <w:sz w:val="24"/>
          <w:szCs w:val="24"/>
        </w:rPr>
        <w:t>室李老师</w:t>
      </w:r>
      <w:r>
        <w:rPr>
          <w:rFonts w:ascii="仿宋_GB2312" w:eastAsia="仿宋_GB2312" w:hAnsi="仿宋_GB2312" w:cs="仿宋_GB2312"/>
          <w:color w:val="000000" w:themeColor="text1"/>
          <w:sz w:val="24"/>
          <w:szCs w:val="24"/>
        </w:rPr>
        <w:t>/</w:t>
      </w:r>
      <w:r>
        <w:rPr>
          <w:rFonts w:ascii="仿宋_GB2312" w:eastAsia="仿宋_GB2312" w:hAnsi="仿宋_GB2312" w:cs="仿宋_GB2312" w:hint="eastAsia"/>
          <w:color w:val="000000" w:themeColor="text1"/>
          <w:sz w:val="24"/>
          <w:szCs w:val="24"/>
        </w:rPr>
        <w:t>许老师</w:t>
      </w:r>
      <w:r>
        <w:rPr>
          <w:rFonts w:ascii="仿宋_GB2312" w:eastAsia="仿宋_GB2312" w:hAnsi="仿宋_GB2312" w:cs="仿宋_GB2312"/>
          <w:color w:val="000000" w:themeColor="text1"/>
          <w:sz w:val="24"/>
          <w:szCs w:val="24"/>
        </w:rPr>
        <w:t>020-39341749</w:t>
      </w:r>
      <w:r>
        <w:rPr>
          <w:rFonts w:ascii="仿宋_GB2312" w:eastAsia="仿宋_GB2312" w:hAnsi="仿宋_GB2312" w:cs="仿宋_GB2312" w:hint="eastAsia"/>
          <w:color w:val="000000" w:themeColor="text1"/>
          <w:sz w:val="24"/>
          <w:szCs w:val="24"/>
        </w:rPr>
        <w:t>、人事管理科</w:t>
      </w:r>
      <w:r>
        <w:rPr>
          <w:rFonts w:ascii="仿宋_GB2312" w:eastAsia="仿宋_GB2312" w:hAnsi="仿宋_GB2312" w:cs="仿宋_GB2312"/>
          <w:color w:val="000000" w:themeColor="text1"/>
          <w:sz w:val="24"/>
          <w:szCs w:val="24"/>
        </w:rPr>
        <w:t>405</w:t>
      </w:r>
      <w:r>
        <w:rPr>
          <w:rFonts w:ascii="仿宋_GB2312" w:eastAsia="仿宋_GB2312" w:hAnsi="仿宋_GB2312" w:cs="仿宋_GB2312" w:hint="eastAsia"/>
          <w:color w:val="000000" w:themeColor="text1"/>
          <w:sz w:val="24"/>
          <w:szCs w:val="24"/>
        </w:rPr>
        <w:t>邢老师</w:t>
      </w:r>
      <w:r>
        <w:rPr>
          <w:rFonts w:ascii="仿宋_GB2312" w:eastAsia="仿宋_GB2312" w:hAnsi="仿宋_GB2312" w:cs="仿宋_GB2312"/>
          <w:color w:val="000000" w:themeColor="text1"/>
          <w:sz w:val="24"/>
          <w:szCs w:val="24"/>
        </w:rPr>
        <w:t>020-39366251</w:t>
      </w:r>
      <w:r>
        <w:rPr>
          <w:rFonts w:ascii="仿宋_GB2312" w:eastAsia="仿宋_GB2312" w:hAnsi="仿宋_GB2312" w:cs="仿宋_GB2312" w:hint="eastAsia"/>
          <w:color w:val="000000" w:themeColor="text1"/>
          <w:sz w:val="24"/>
          <w:szCs w:val="24"/>
        </w:rPr>
        <w:t>）</w:t>
      </w:r>
    </w:p>
    <w:p w:rsidR="00E37845" w:rsidRDefault="00E22BDD">
      <w:pPr>
        <w:autoSpaceDE w:val="0"/>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（一）特聘、外聘人员收到同意引进通知后，请在一个月内到人才工作科</w:t>
      </w:r>
      <w:r>
        <w:rPr>
          <w:rFonts w:ascii="仿宋_GB2312" w:eastAsia="仿宋_GB2312" w:hAnsi="仿宋_GB2312" w:cs="仿宋_GB2312"/>
          <w:color w:val="000000" w:themeColor="text1"/>
          <w:sz w:val="24"/>
          <w:szCs w:val="24"/>
        </w:rPr>
        <w:t>414</w:t>
      </w:r>
      <w:r>
        <w:rPr>
          <w:rFonts w:ascii="仿宋_GB2312" w:eastAsia="仿宋_GB2312" w:hAnsi="仿宋_GB2312" w:cs="仿宋_GB2312" w:hint="eastAsia"/>
          <w:color w:val="000000" w:themeColor="text1"/>
          <w:sz w:val="24"/>
          <w:szCs w:val="24"/>
        </w:rPr>
        <w:t>室开具体检介绍信（如有集中预约可直接带身份证去市一体检），并准备《公开招聘人员考察表》（模板可在人事处官网下载），完成签约前的体检及计生、政审考察程序。</w:t>
      </w:r>
    </w:p>
    <w:p w:rsidR="00E37845" w:rsidRDefault="00E22BDD">
      <w:pPr>
        <w:autoSpaceDE w:val="0"/>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（二）一级用工人员收到录取通知后，在规定时间内由人事管理科</w:t>
      </w:r>
      <w:r>
        <w:rPr>
          <w:rFonts w:ascii="仿宋_GB2312" w:eastAsia="仿宋_GB2312" w:hAnsi="仿宋_GB2312" w:cs="仿宋_GB2312"/>
          <w:color w:val="000000" w:themeColor="text1"/>
          <w:sz w:val="24"/>
          <w:szCs w:val="24"/>
        </w:rPr>
        <w:t>405</w:t>
      </w:r>
      <w:r>
        <w:rPr>
          <w:rFonts w:ascii="仿宋_GB2312" w:eastAsia="仿宋_GB2312" w:hAnsi="仿宋_GB2312" w:cs="仿宋_GB2312" w:hint="eastAsia"/>
          <w:color w:val="000000" w:themeColor="text1"/>
          <w:sz w:val="24"/>
          <w:szCs w:val="24"/>
        </w:rPr>
        <w:t>邢老师统一带队到市一体检，并发放《非事业编公开招聘考察表》（模板可在人事处官网下载），完成签约前的体检及计生、政审考察程序。</w:t>
      </w:r>
    </w:p>
    <w:p w:rsidR="00E37845" w:rsidRDefault="00E22BDD">
      <w:pPr>
        <w:autoSpaceDE w:val="0"/>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备注：特聘外籍人员也需用人单位提交政审考察意见，确保无政治问题。</w:t>
      </w:r>
    </w:p>
    <w:p w:rsidR="00E37845" w:rsidRDefault="00E22BDD">
      <w:pPr>
        <w:autoSpaceDE w:val="0"/>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二、签订协议（人才工作科</w:t>
      </w:r>
      <w:r>
        <w:rPr>
          <w:rFonts w:ascii="仿宋_GB2312" w:eastAsia="仿宋_GB2312" w:hAnsi="仿宋_GB2312" w:cs="仿宋_GB2312"/>
          <w:color w:val="000000" w:themeColor="text1"/>
          <w:sz w:val="24"/>
          <w:szCs w:val="24"/>
        </w:rPr>
        <w:t>414</w:t>
      </w:r>
      <w:r>
        <w:rPr>
          <w:rFonts w:ascii="仿宋_GB2312" w:eastAsia="仿宋_GB2312" w:hAnsi="仿宋_GB2312" w:cs="仿宋_GB2312" w:hint="eastAsia"/>
          <w:color w:val="000000" w:themeColor="text1"/>
          <w:sz w:val="24"/>
          <w:szCs w:val="24"/>
        </w:rPr>
        <w:t>室李老师</w:t>
      </w:r>
      <w:r>
        <w:rPr>
          <w:rFonts w:ascii="仿宋_GB2312" w:eastAsia="仿宋_GB2312" w:hAnsi="仿宋_GB2312" w:cs="仿宋_GB2312"/>
          <w:color w:val="000000" w:themeColor="text1"/>
          <w:sz w:val="24"/>
          <w:szCs w:val="24"/>
        </w:rPr>
        <w:t>/</w:t>
      </w:r>
      <w:r>
        <w:rPr>
          <w:rFonts w:ascii="仿宋_GB2312" w:eastAsia="仿宋_GB2312" w:hAnsi="仿宋_GB2312" w:cs="仿宋_GB2312" w:hint="eastAsia"/>
          <w:color w:val="000000" w:themeColor="text1"/>
          <w:sz w:val="24"/>
          <w:szCs w:val="24"/>
        </w:rPr>
        <w:t>许老师</w:t>
      </w:r>
      <w:r>
        <w:rPr>
          <w:rFonts w:ascii="仿宋_GB2312" w:eastAsia="仿宋_GB2312" w:hAnsi="仿宋_GB2312" w:cs="仿宋_GB2312"/>
          <w:color w:val="000000" w:themeColor="text1"/>
          <w:sz w:val="24"/>
          <w:szCs w:val="24"/>
        </w:rPr>
        <w:t>020-39341749</w:t>
      </w:r>
      <w:r>
        <w:rPr>
          <w:rFonts w:ascii="仿宋_GB2312" w:eastAsia="仿宋_GB2312" w:hAnsi="仿宋_GB2312" w:cs="仿宋_GB2312" w:hint="eastAsia"/>
          <w:color w:val="000000" w:themeColor="text1"/>
          <w:sz w:val="24"/>
          <w:szCs w:val="24"/>
        </w:rPr>
        <w:t>、人事管理科</w:t>
      </w:r>
      <w:r>
        <w:rPr>
          <w:rFonts w:ascii="仿宋_GB2312" w:eastAsia="仿宋_GB2312" w:hAnsi="仿宋_GB2312" w:cs="仿宋_GB2312"/>
          <w:color w:val="000000" w:themeColor="text1"/>
          <w:sz w:val="24"/>
          <w:szCs w:val="24"/>
        </w:rPr>
        <w:t>405</w:t>
      </w:r>
      <w:r>
        <w:rPr>
          <w:rFonts w:ascii="仿宋_GB2312" w:eastAsia="仿宋_GB2312" w:hAnsi="仿宋_GB2312" w:cs="仿宋_GB2312" w:hint="eastAsia"/>
          <w:color w:val="000000" w:themeColor="text1"/>
          <w:sz w:val="24"/>
          <w:szCs w:val="24"/>
        </w:rPr>
        <w:t>邢老师</w:t>
      </w:r>
      <w:r>
        <w:rPr>
          <w:rFonts w:ascii="仿宋_GB2312" w:eastAsia="仿宋_GB2312" w:hAnsi="仿宋_GB2312" w:cs="仿宋_GB2312"/>
          <w:color w:val="000000" w:themeColor="text1"/>
          <w:sz w:val="24"/>
          <w:szCs w:val="24"/>
        </w:rPr>
        <w:t>020-39366251</w:t>
      </w:r>
      <w:r>
        <w:rPr>
          <w:rFonts w:ascii="仿宋_GB2312" w:eastAsia="仿宋_GB2312" w:hAnsi="仿宋_GB2312" w:cs="仿宋_GB2312" w:hint="eastAsia"/>
          <w:color w:val="000000" w:themeColor="text1"/>
          <w:sz w:val="24"/>
          <w:szCs w:val="24"/>
        </w:rPr>
        <w:t>）</w:t>
      </w:r>
    </w:p>
    <w:p w:rsidR="00E37845" w:rsidRDefault="00E22BDD">
      <w:pPr>
        <w:autoSpaceDE w:val="0"/>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（一）特聘外聘人员体检结果由人才工作科反馈到学院人事秘书或本人，体检合格、计生、政审考察通过后，请到人才工作科</w:t>
      </w:r>
      <w:r>
        <w:rPr>
          <w:rFonts w:ascii="仿宋_GB2312" w:eastAsia="仿宋_GB2312" w:hAnsi="仿宋_GB2312" w:cs="仿宋_GB2312"/>
          <w:color w:val="000000" w:themeColor="text1"/>
          <w:sz w:val="24"/>
          <w:szCs w:val="24"/>
        </w:rPr>
        <w:t>414</w:t>
      </w:r>
      <w:r>
        <w:rPr>
          <w:rFonts w:ascii="仿宋_GB2312" w:eastAsia="仿宋_GB2312" w:hAnsi="仿宋_GB2312" w:cs="仿宋_GB2312" w:hint="eastAsia"/>
          <w:color w:val="000000" w:themeColor="text1"/>
          <w:sz w:val="24"/>
          <w:szCs w:val="24"/>
        </w:rPr>
        <w:t>室签订《聘用合同》及《全国毕业研究生就业三方协议》（应届生签署）。</w:t>
      </w:r>
    </w:p>
    <w:p w:rsidR="00E37845" w:rsidRDefault="00E22BDD">
      <w:pPr>
        <w:autoSpaceDE w:val="0"/>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（二）一级用工人员与南方人才市场签订聘用协议，由人事管理科</w:t>
      </w:r>
      <w:r>
        <w:rPr>
          <w:rFonts w:ascii="仿宋_GB2312" w:eastAsia="仿宋_GB2312" w:hAnsi="仿宋_GB2312" w:cs="仿宋_GB2312"/>
          <w:color w:val="000000" w:themeColor="text1"/>
          <w:sz w:val="24"/>
          <w:szCs w:val="24"/>
        </w:rPr>
        <w:t>405</w:t>
      </w:r>
      <w:r>
        <w:rPr>
          <w:rFonts w:ascii="仿宋_GB2312" w:eastAsia="仿宋_GB2312" w:hAnsi="仿宋_GB2312" w:cs="仿宋_GB2312" w:hint="eastAsia"/>
          <w:color w:val="000000" w:themeColor="text1"/>
          <w:sz w:val="24"/>
          <w:szCs w:val="24"/>
        </w:rPr>
        <w:t>邢老师负责对接。</w:t>
      </w:r>
    </w:p>
    <w:p w:rsidR="00E37845" w:rsidRDefault="00E22BDD">
      <w:pPr>
        <w:autoSpaceDE w:val="0"/>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三、办理报到（人事管理科</w:t>
      </w:r>
      <w:r>
        <w:rPr>
          <w:rFonts w:ascii="仿宋_GB2312" w:eastAsia="仿宋_GB2312" w:hAnsi="仿宋_GB2312" w:cs="仿宋_GB2312"/>
          <w:color w:val="000000" w:themeColor="text1"/>
          <w:sz w:val="24"/>
          <w:szCs w:val="24"/>
        </w:rPr>
        <w:t>405</w:t>
      </w:r>
      <w:r>
        <w:rPr>
          <w:rFonts w:ascii="仿宋_GB2312" w:eastAsia="仿宋_GB2312" w:hAnsi="仿宋_GB2312" w:cs="仿宋_GB2312" w:hint="eastAsia"/>
          <w:color w:val="000000" w:themeColor="text1"/>
          <w:sz w:val="24"/>
          <w:szCs w:val="24"/>
        </w:rPr>
        <w:t>室张老师</w:t>
      </w:r>
      <w:r>
        <w:rPr>
          <w:rFonts w:ascii="仿宋_GB2312" w:eastAsia="仿宋_GB2312" w:hAnsi="仿宋_GB2312" w:cs="仿宋_GB2312"/>
          <w:color w:val="000000" w:themeColor="text1"/>
          <w:sz w:val="24"/>
          <w:szCs w:val="24"/>
        </w:rPr>
        <w:t>020-39366207</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u w:val="single"/>
        </w:rPr>
      </w:pPr>
      <w:r>
        <w:rPr>
          <w:rFonts w:ascii="仿宋_GB2312" w:eastAsia="仿宋_GB2312" w:hAnsi="仿宋_GB2312" w:cs="仿宋_GB2312" w:hint="eastAsia"/>
          <w:color w:val="000000" w:themeColor="text1"/>
          <w:sz w:val="24"/>
          <w:szCs w:val="24"/>
          <w:u w:val="single"/>
        </w:rPr>
        <w:t>非事业编制人员报到流程：人事管理科→学院（部处）办公室→科研处→财务处→网络中心→薪酬管理科</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（一）人事科（行政西后座</w:t>
      </w:r>
      <w:r>
        <w:rPr>
          <w:rFonts w:ascii="仿宋_GB2312" w:eastAsia="仿宋_GB2312" w:hAnsi="仿宋_GB2312" w:cs="仿宋_GB2312"/>
          <w:color w:val="000000" w:themeColor="text1"/>
          <w:sz w:val="24"/>
          <w:szCs w:val="24"/>
        </w:rPr>
        <w:t>405</w:t>
      </w:r>
      <w:r>
        <w:rPr>
          <w:rFonts w:ascii="仿宋_GB2312" w:eastAsia="仿宋_GB2312" w:hAnsi="仿宋_GB2312" w:cs="仿宋_GB2312" w:hint="eastAsia"/>
          <w:color w:val="000000" w:themeColor="text1"/>
          <w:sz w:val="24"/>
          <w:szCs w:val="24"/>
        </w:rPr>
        <w:t>室）：</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1.提交本人的最高学历、学位、职称证、原单位聘书、身份证（护照）、各类人才项目证书等原件及复印件验证；</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2.填写个人信息资料</w:t>
      </w:r>
      <w:r>
        <w:rPr>
          <w:rFonts w:ascii="仿宋_GB2312" w:eastAsia="仿宋_GB2312" w:hAnsi="仿宋_GB2312" w:cs="仿宋_GB2312"/>
          <w:color w:val="000000" w:themeColor="text1"/>
          <w:sz w:val="24"/>
          <w:szCs w:val="24"/>
        </w:rPr>
        <w:t>(含校园卡信息表)；</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（二）凭《报到通知书》到拟安排的各学院（部处）办公室报到。</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（三）科研处（行政西后座</w:t>
      </w:r>
      <w:r>
        <w:rPr>
          <w:rFonts w:ascii="仿宋_GB2312" w:eastAsia="仿宋_GB2312" w:hAnsi="仿宋_GB2312" w:cs="仿宋_GB2312"/>
          <w:color w:val="000000" w:themeColor="text1"/>
          <w:sz w:val="24"/>
          <w:szCs w:val="24"/>
        </w:rPr>
        <w:t>304</w:t>
      </w:r>
      <w:r>
        <w:rPr>
          <w:rFonts w:ascii="仿宋_GB2312" w:eastAsia="仿宋_GB2312" w:hAnsi="仿宋_GB2312" w:cs="仿宋_GB2312" w:hint="eastAsia"/>
          <w:color w:val="000000" w:themeColor="text1"/>
          <w:sz w:val="24"/>
          <w:szCs w:val="24"/>
        </w:rPr>
        <w:t>室）：特聘合同年薪制老师办理科研启动费手续。</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（四）财务处（行政西前座一楼大厅）：凭“办理公务卡证明”办理公务卡。</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lastRenderedPageBreak/>
        <w:t>（五）网络中心（图书馆</w:t>
      </w:r>
      <w:r>
        <w:rPr>
          <w:rFonts w:ascii="仿宋_GB2312" w:eastAsia="仿宋_GB2312" w:hAnsi="仿宋_GB2312" w:cs="仿宋_GB2312"/>
          <w:color w:val="000000" w:themeColor="text1"/>
          <w:sz w:val="24"/>
          <w:szCs w:val="24"/>
        </w:rPr>
        <w:t>附</w:t>
      </w:r>
      <w:r>
        <w:rPr>
          <w:rFonts w:ascii="仿宋_GB2312" w:eastAsia="仿宋_GB2312" w:hAnsi="仿宋_GB2312" w:cs="仿宋_GB2312" w:hint="eastAsia"/>
          <w:color w:val="000000" w:themeColor="text1"/>
          <w:sz w:val="24"/>
          <w:szCs w:val="24"/>
        </w:rPr>
        <w:t>楼</w:t>
      </w:r>
      <w:r>
        <w:rPr>
          <w:rFonts w:ascii="仿宋_GB2312" w:eastAsia="仿宋_GB2312" w:hAnsi="仿宋_GB2312" w:cs="仿宋_GB2312"/>
          <w:color w:val="000000" w:themeColor="text1"/>
          <w:sz w:val="24"/>
          <w:szCs w:val="24"/>
        </w:rPr>
        <w:t>404</w:t>
      </w:r>
      <w:r>
        <w:rPr>
          <w:rFonts w:ascii="仿宋_GB2312" w:eastAsia="仿宋_GB2312" w:hAnsi="仿宋_GB2312" w:cs="仿宋_GB2312" w:hint="eastAsia"/>
          <w:color w:val="000000" w:themeColor="text1"/>
          <w:sz w:val="24"/>
          <w:szCs w:val="24"/>
        </w:rPr>
        <w:t>室）：</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1.凭校园卡信息表办理校园卡（工作证）；</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2.登陆网址：</w:t>
      </w:r>
      <w:hyperlink r:id="rId15" w:history="1">
        <w:r>
          <w:rPr>
            <w:rStyle w:val="15"/>
            <w:rFonts w:ascii="Times New Roman" w:eastAsia="仿宋_GB2312" w:hAnsi="Times New Roman" w:cs="Times New Roman"/>
            <w:color w:val="000000" w:themeColor="text1"/>
            <w:sz w:val="24"/>
            <w:szCs w:val="24"/>
          </w:rPr>
          <w:t>http://202.192.18.154:7071/hrm/</w:t>
        </w:r>
      </w:hyperlink>
      <w:r>
        <w:rPr>
          <w:rFonts w:ascii="仿宋_GB2312" w:eastAsia="仿宋_GB2312" w:hAnsi="仿宋_GB2312" w:cs="仿宋_GB2312" w:hint="eastAsia"/>
          <w:color w:val="000000" w:themeColor="text1"/>
          <w:sz w:val="24"/>
          <w:szCs w:val="24"/>
        </w:rPr>
        <w:t>广州大学人力资源管理信息系统，在网上填报个人信息后，人事管理科审核后可以使用个人门户系统。个人信息门户系统地址：广州大学主页→数字广大或者</w:t>
      </w:r>
      <w:hyperlink r:id="rId16" w:history="1">
        <w:r>
          <w:rPr>
            <w:rStyle w:val="15"/>
            <w:rFonts w:ascii="Times New Roman" w:eastAsia="仿宋_GB2312" w:hAnsi="Times New Roman" w:cs="Times New Roman"/>
            <w:color w:val="000000" w:themeColor="text1"/>
            <w:sz w:val="24"/>
            <w:szCs w:val="24"/>
          </w:rPr>
          <w:t>http://my.gzhu.edu.cn</w:t>
        </w:r>
      </w:hyperlink>
      <w:r>
        <w:rPr>
          <w:rFonts w:ascii="仿宋_GB2312" w:eastAsia="仿宋_GB2312" w:hAnsi="仿宋_GB2312" w:cs="仿宋_GB2312" w:hint="eastAsia"/>
          <w:color w:val="000000" w:themeColor="text1"/>
          <w:sz w:val="24"/>
          <w:szCs w:val="24"/>
        </w:rPr>
        <w:t>，登陆帐号：特聘人员工号前面加</w:t>
      </w:r>
      <w:r>
        <w:rPr>
          <w:rFonts w:ascii="仿宋_GB2312" w:eastAsia="仿宋_GB2312" w:hAnsi="仿宋_GB2312" w:cs="仿宋_GB2312"/>
          <w:color w:val="000000" w:themeColor="text1"/>
          <w:sz w:val="24"/>
          <w:szCs w:val="24"/>
        </w:rPr>
        <w:t>2</w:t>
      </w:r>
      <w:r>
        <w:rPr>
          <w:rFonts w:ascii="仿宋_GB2312" w:eastAsia="仿宋_GB2312" w:hAnsi="仿宋_GB2312" w:cs="仿宋_GB2312" w:hint="eastAsia"/>
          <w:color w:val="000000" w:themeColor="text1"/>
          <w:sz w:val="24"/>
          <w:szCs w:val="24"/>
        </w:rPr>
        <w:t>，流动编制人员工号前面加</w:t>
      </w:r>
      <w:r>
        <w:rPr>
          <w:rFonts w:ascii="仿宋_GB2312" w:eastAsia="仿宋_GB2312" w:hAnsi="仿宋_GB2312" w:cs="仿宋_GB2312"/>
          <w:color w:val="000000" w:themeColor="text1"/>
          <w:sz w:val="24"/>
          <w:szCs w:val="24"/>
        </w:rPr>
        <w:t>27</w:t>
      </w:r>
      <w:r>
        <w:rPr>
          <w:rFonts w:ascii="仿宋_GB2312" w:eastAsia="仿宋_GB2312" w:hAnsi="仿宋_GB2312" w:cs="仿宋_GB2312" w:hint="eastAsia"/>
          <w:color w:val="000000" w:themeColor="text1"/>
          <w:sz w:val="24"/>
          <w:szCs w:val="24"/>
        </w:rPr>
        <w:t>，密码为身份证后</w:t>
      </w:r>
      <w:r>
        <w:rPr>
          <w:rFonts w:ascii="仿宋_GB2312" w:eastAsia="仿宋_GB2312" w:hAnsi="仿宋_GB2312" w:cs="仿宋_GB2312"/>
          <w:color w:val="000000" w:themeColor="text1"/>
          <w:sz w:val="24"/>
          <w:szCs w:val="24"/>
        </w:rPr>
        <w:t>6</w:t>
      </w:r>
      <w:r>
        <w:rPr>
          <w:rFonts w:ascii="仿宋_GB2312" w:eastAsia="仿宋_GB2312" w:hAnsi="仿宋_GB2312" w:cs="仿宋_GB2312" w:hint="eastAsia"/>
          <w:color w:val="000000" w:themeColor="text1"/>
          <w:sz w:val="24"/>
          <w:szCs w:val="24"/>
        </w:rPr>
        <w:t>位。</w:t>
      </w:r>
    </w:p>
    <w:p w:rsidR="00E37845" w:rsidRDefault="00E22BDD">
      <w:pPr>
        <w:autoSpaceDE w:val="0"/>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（六）薪酬管理科（行政西后座</w:t>
      </w:r>
      <w:r>
        <w:rPr>
          <w:rFonts w:ascii="仿宋_GB2312" w:eastAsia="仿宋_GB2312" w:hAnsi="仿宋_GB2312" w:cs="仿宋_GB2312"/>
          <w:color w:val="000000" w:themeColor="text1"/>
          <w:sz w:val="24"/>
          <w:szCs w:val="24"/>
        </w:rPr>
        <w:t>407</w:t>
      </w:r>
      <w:r>
        <w:rPr>
          <w:rFonts w:ascii="仿宋_GB2312" w:eastAsia="仿宋_GB2312" w:hAnsi="仿宋_GB2312" w:cs="仿宋_GB2312" w:hint="eastAsia"/>
          <w:color w:val="000000" w:themeColor="text1"/>
          <w:sz w:val="24"/>
          <w:szCs w:val="24"/>
        </w:rPr>
        <w:t>室）：中国工商银行存折（卡）复印件</w:t>
      </w:r>
      <w:r>
        <w:rPr>
          <w:rFonts w:ascii="仿宋_GB2312" w:eastAsia="仿宋_GB2312" w:hAnsi="仿宋_GB2312" w:cs="仿宋_GB2312"/>
          <w:color w:val="000000" w:themeColor="text1"/>
          <w:sz w:val="24"/>
          <w:szCs w:val="24"/>
        </w:rPr>
        <w:t>1份、身份证或者护照复印件（正反面复印在A4纸上）1份。</w:t>
      </w:r>
    </w:p>
    <w:p w:rsidR="00E37845" w:rsidRDefault="00E22BDD">
      <w:pPr>
        <w:autoSpaceDE w:val="0"/>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四、办理人才绿卡（人事管理科</w:t>
      </w:r>
      <w:r>
        <w:rPr>
          <w:rFonts w:ascii="仿宋_GB2312" w:eastAsia="仿宋_GB2312" w:hAnsi="仿宋_GB2312" w:cs="仿宋_GB2312"/>
          <w:color w:val="000000" w:themeColor="text1"/>
          <w:sz w:val="24"/>
          <w:szCs w:val="24"/>
        </w:rPr>
        <w:t>405</w:t>
      </w:r>
      <w:r>
        <w:rPr>
          <w:rFonts w:ascii="仿宋_GB2312" w:eastAsia="仿宋_GB2312" w:hAnsi="仿宋_GB2312" w:cs="仿宋_GB2312" w:hint="eastAsia"/>
          <w:color w:val="000000" w:themeColor="text1"/>
          <w:sz w:val="24"/>
          <w:szCs w:val="24"/>
        </w:rPr>
        <w:t>室张老师</w:t>
      </w:r>
      <w:r>
        <w:rPr>
          <w:rFonts w:ascii="仿宋_GB2312" w:eastAsia="仿宋_GB2312" w:hAnsi="仿宋_GB2312" w:cs="仿宋_GB2312"/>
          <w:color w:val="000000" w:themeColor="text1"/>
          <w:sz w:val="24"/>
          <w:szCs w:val="24"/>
        </w:rPr>
        <w:t>020-39366207</w:t>
      </w:r>
      <w:r>
        <w:rPr>
          <w:rFonts w:ascii="仿宋_GB2312" w:eastAsia="仿宋_GB2312" w:hAnsi="仿宋_GB2312" w:cs="仿宋_GB2312" w:hint="eastAsia"/>
          <w:color w:val="000000" w:themeColor="text1"/>
          <w:sz w:val="24"/>
          <w:szCs w:val="24"/>
        </w:rPr>
        <w:t>）</w:t>
      </w:r>
    </w:p>
    <w:p w:rsidR="00E37845" w:rsidRDefault="00E22BDD">
      <w:pPr>
        <w:autoSpaceDE w:val="0"/>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符合广州市人才绿卡申报条件的人员，可根据自身需求在报到后申报广州市人才绿卡。申报流程包括：申请——核定——制证——发证，申领过程在网上完成，不接受纸质材料申报。个人申请的步骤主要包括：登录“广州市人才绿卡管理系统”→填报、上传相关报表和附件材料→资料填写完后生成“主政报表”打印正反面一式三份→人事处加盖公章（人事管理科</w:t>
      </w:r>
      <w:r>
        <w:rPr>
          <w:rFonts w:ascii="仿宋_GB2312" w:eastAsia="仿宋_GB2312" w:hAnsi="仿宋_GB2312" w:cs="仿宋_GB2312"/>
          <w:color w:val="000000" w:themeColor="text1"/>
          <w:sz w:val="24"/>
          <w:szCs w:val="24"/>
        </w:rPr>
        <w:t>405</w:t>
      </w:r>
      <w:r>
        <w:rPr>
          <w:rFonts w:ascii="仿宋_GB2312" w:eastAsia="仿宋_GB2312" w:hAnsi="仿宋_GB2312" w:cs="仿宋_GB2312" w:hint="eastAsia"/>
          <w:color w:val="000000" w:themeColor="text1"/>
          <w:sz w:val="24"/>
          <w:szCs w:val="24"/>
        </w:rPr>
        <w:t>室张老师经办）→上传申报材料并提交→静等申领窗口通知领取人才绿卡。</w:t>
      </w:r>
    </w:p>
    <w:p w:rsidR="00E37845" w:rsidRDefault="00E22BDD">
      <w:pPr>
        <w:autoSpaceDE w:val="0"/>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相关链接：</w:t>
      </w:r>
    </w:p>
    <w:p w:rsidR="00E37845" w:rsidRDefault="00E22BDD">
      <w:pPr>
        <w:autoSpaceDE w:val="0"/>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①广州市人才绿卡申请指南（</w:t>
      </w:r>
      <w:r>
        <w:rPr>
          <w:rFonts w:ascii="仿宋_GB2312" w:eastAsia="仿宋_GB2312" w:hAnsi="仿宋_GB2312" w:cs="仿宋_GB2312"/>
          <w:color w:val="000000" w:themeColor="text1"/>
          <w:sz w:val="24"/>
          <w:szCs w:val="24"/>
        </w:rPr>
        <w:t>2017）</w:t>
      </w:r>
    </w:p>
    <w:p w:rsidR="00E37845" w:rsidRDefault="00E22BDD">
      <w:pPr>
        <w:autoSpaceDE w:val="0"/>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Style w:val="15"/>
          <w:rFonts w:ascii="Times New Roman" w:eastAsia="仿宋_GB2312" w:hAnsi="Times New Roman" w:cs="Times New Roman"/>
          <w:color w:val="000000" w:themeColor="text1"/>
          <w:sz w:val="24"/>
          <w:szCs w:val="24"/>
        </w:rPr>
        <w:t>http://www.hrssgz.gov.cn/tzgg/gg/201706/t20170609_264116.htm</w:t>
      </w:r>
      <w:r>
        <w:rPr>
          <w:rFonts w:ascii="仿宋_GB2312" w:eastAsia="仿宋_GB2312" w:hAnsi="仿宋_GB2312" w:cs="仿宋_GB2312" w:hint="eastAsia"/>
          <w:color w:val="000000" w:themeColor="text1"/>
          <w:sz w:val="24"/>
          <w:szCs w:val="24"/>
        </w:rPr>
        <w:t>（第</w:t>
      </w:r>
      <w:r>
        <w:rPr>
          <w:rFonts w:ascii="仿宋_GB2312" w:eastAsia="仿宋_GB2312" w:hAnsi="仿宋_GB2312" w:cs="仿宋_GB2312"/>
          <w:color w:val="000000" w:themeColor="text1"/>
          <w:sz w:val="24"/>
          <w:szCs w:val="24"/>
        </w:rPr>
        <w:t>12项）</w:t>
      </w:r>
    </w:p>
    <w:p w:rsidR="00E37845" w:rsidRDefault="00E22BDD">
      <w:pPr>
        <w:autoSpaceDE w:val="0"/>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②广州市人才绿卡管理系统</w:t>
      </w:r>
    </w:p>
    <w:p w:rsidR="00E37845" w:rsidRDefault="00E22BDD">
      <w:pPr>
        <w:autoSpaceDE w:val="0"/>
        <w:adjustRightInd w:val="0"/>
        <w:snapToGrid w:val="0"/>
        <w:spacing w:line="360" w:lineRule="auto"/>
        <w:ind w:firstLineChars="200" w:firstLine="480"/>
        <w:rPr>
          <w:rStyle w:val="15"/>
          <w:rFonts w:ascii="Times New Roman" w:eastAsia="仿宋_GB2312" w:hAnsi="Times New Roman" w:cs="Times New Roman"/>
          <w:color w:val="000000" w:themeColor="text1"/>
          <w:sz w:val="24"/>
          <w:szCs w:val="24"/>
        </w:rPr>
      </w:pPr>
      <w:r>
        <w:rPr>
          <w:rStyle w:val="15"/>
          <w:rFonts w:ascii="Times New Roman" w:eastAsia="仿宋_GB2312" w:hAnsi="Times New Roman" w:cs="Times New Roman"/>
          <w:color w:val="000000" w:themeColor="text1"/>
          <w:sz w:val="24"/>
          <w:szCs w:val="24"/>
        </w:rPr>
        <w:t>http:www.hrssgz.gov.cn/vsgzhr/login_rclk2.aspx</w:t>
      </w:r>
    </w:p>
    <w:p w:rsidR="00E37845" w:rsidRDefault="00E22BDD">
      <w:pPr>
        <w:autoSpaceDE w:val="0"/>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备注：请各学院（机构）人事秘书与新引进人员协调入职报到时间，由人事秘书或入职者本人先进行电话预约（张老师</w:t>
      </w:r>
      <w:r>
        <w:rPr>
          <w:rFonts w:ascii="仿宋_GB2312" w:eastAsia="仿宋_GB2312" w:hAnsi="仿宋_GB2312" w:cs="仿宋_GB2312"/>
          <w:color w:val="000000" w:themeColor="text1"/>
          <w:sz w:val="24"/>
          <w:szCs w:val="24"/>
        </w:rPr>
        <w:t>39366207</w:t>
      </w:r>
      <w:r>
        <w:rPr>
          <w:rFonts w:ascii="仿宋_GB2312" w:eastAsia="仿宋_GB2312" w:hAnsi="仿宋_GB2312" w:cs="仿宋_GB2312" w:hint="eastAsia"/>
          <w:color w:val="000000" w:themeColor="text1"/>
          <w:sz w:val="24"/>
          <w:szCs w:val="24"/>
        </w:rPr>
        <w:t>），再到人事处管理科（提交入职相关材料）和人才工作科（合同加盖校章）办理手续。如不预约，一旦工作量超额，将按照人员报到排队情况，最末序位将顺延半天办理入职手续。</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505" w:name="_Toc29793"/>
      <w:bookmarkStart w:id="506" w:name="_Toc23148"/>
      <w:bookmarkStart w:id="507" w:name="_Toc8416"/>
      <w:bookmarkStart w:id="508" w:name="_Toc22616"/>
      <w:bookmarkStart w:id="509" w:name="_Toc17671"/>
      <w:bookmarkStart w:id="510" w:name="_Toc15552"/>
      <w:bookmarkStart w:id="511" w:name="_Toc5151"/>
      <w:bookmarkStart w:id="512" w:name="_Toc18673"/>
      <w:bookmarkStart w:id="513" w:name="_Toc291"/>
      <w:bookmarkStart w:id="514" w:name="_Toc32195"/>
      <w:bookmarkStart w:id="515" w:name="_Toc11130"/>
      <w:bookmarkStart w:id="516" w:name="_Toc4777"/>
      <w:bookmarkStart w:id="517" w:name="_Toc15015"/>
      <w:bookmarkStart w:id="518" w:name="_Toc11758"/>
      <w:bookmarkStart w:id="519" w:name="_Toc18184"/>
      <w:bookmarkStart w:id="520" w:name="_Toc1108"/>
      <w:bookmarkStart w:id="521" w:name="_Toc21242"/>
      <w:bookmarkStart w:id="522" w:name="_Toc32612"/>
      <w:bookmarkStart w:id="523" w:name="_Toc22891"/>
      <w:bookmarkStart w:id="524" w:name="_Toc19596"/>
      <w:bookmarkStart w:id="525" w:name="_Toc19391"/>
      <w:bookmarkStart w:id="526" w:name="_Toc29600"/>
      <w:bookmarkStart w:id="527" w:name="_Toc519780943"/>
      <w:bookmarkStart w:id="528" w:name="_Toc15041"/>
      <w:bookmarkStart w:id="529" w:name="_Toc5296"/>
      <w:bookmarkStart w:id="530" w:name="_Toc28144"/>
      <w:bookmarkStart w:id="531" w:name="_Toc23692"/>
      <w:bookmarkStart w:id="532" w:name="_Toc2206"/>
      <w:bookmarkStart w:id="533" w:name="_Toc8485"/>
      <w:bookmarkStart w:id="534" w:name="_Toc13709"/>
      <w:bookmarkStart w:id="535" w:name="_Toc6162"/>
      <w:r>
        <w:rPr>
          <w:rFonts w:ascii="黑体" w:eastAsia="黑体" w:hAnsi="黑体" w:cs="黑体" w:hint="eastAsia"/>
          <w:color w:val="000000" w:themeColor="text1"/>
          <w:sz w:val="28"/>
          <w:szCs w:val="28"/>
        </w:rPr>
        <w:t>4.2专业技术职务评审管理办法（详见广大〔2018〕169号）</w:t>
      </w:r>
      <w:bookmarkEnd w:id="505"/>
      <w:bookmarkEnd w:id="506"/>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lang w:bidi="ar"/>
        </w:rPr>
        <w:t>专业技术职务评审工作从教学科研、学科建设、岗位职责履约出发，充分发挥其在师资队伍建设中的导向作用，推动学校学科发展和人才培养，提升管理服务效率和品质。</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lang w:bidi="ar"/>
        </w:rPr>
        <w:t>专业技术职务评审工作以实际业绩贡献和代表性成果评价为突破口，充分发</w:t>
      </w:r>
      <w:r>
        <w:rPr>
          <w:rFonts w:ascii="仿宋_GB2312" w:eastAsia="仿宋_GB2312" w:hAnsi="仿宋_GB2312" w:cs="仿宋_GB2312" w:hint="eastAsia"/>
          <w:color w:val="000000"/>
          <w:kern w:val="0"/>
          <w:sz w:val="24"/>
          <w:szCs w:val="24"/>
          <w:lang w:bidi="ar"/>
        </w:rPr>
        <w:lastRenderedPageBreak/>
        <w:t>挥院系教授、同行专家和学校专业技术职务评审委员会的作用，建立科学的评价体系，促进学校教学、科研、学科发展、人才培养和管理工作,引导学术事业健康发展。代表性学术成果是指申报人在所从事学科或工作领域做出的具有系统性、标志性、创新性，具有较大影响的高水平学术成果。</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lang w:bidi="ar"/>
        </w:rPr>
        <w:t>专业技术职务评审工作坚持分类指导原则。在评价要素总体一致的框架下，分别就教师系列、思想政治教育、实验技术和图书资料等专业技术职务制定不同的评审条件。</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536" w:name="_Toc32551"/>
      <w:bookmarkStart w:id="537" w:name="_Toc10729"/>
      <w:r>
        <w:rPr>
          <w:rFonts w:ascii="黑体" w:eastAsia="黑体" w:hAnsi="黑体" w:cs="黑体" w:hint="eastAsia"/>
          <w:color w:val="000000" w:themeColor="text1"/>
          <w:sz w:val="28"/>
          <w:szCs w:val="28"/>
        </w:rPr>
        <w:t>4.2.1岗位职数、申报范围和评审分类</w:t>
      </w:r>
      <w:bookmarkEnd w:id="536"/>
      <w:bookmarkEnd w:id="537"/>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lang w:bidi="ar"/>
        </w:rPr>
        <w:t>按照省市事业单位岗位设置管理的相关文件规定,以现有专业技术队伍总体状况和结构为基础，同时考虑学校的学科、平台、高水平成果等因素设置当年专业技术职务评审指标。</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lang w:bidi="ar"/>
        </w:rPr>
        <w:t>思想政治教育教师、教学为主型高级专业技术职务申报人员评审指标单列。</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lang w:bidi="ar"/>
        </w:rPr>
        <w:t>凡符合申报条件的学校专业技术人员均可申报评审专业技术职务。申报晋升评审含初级晋升为中级、中级晋升为副高级、副高级晋升为正高级等类型。</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kern w:val="0"/>
          <w:sz w:val="24"/>
          <w:szCs w:val="24"/>
        </w:rPr>
      </w:pPr>
      <w:r>
        <w:rPr>
          <w:rFonts w:ascii="仿宋_GB2312" w:eastAsia="仿宋_GB2312" w:hAnsi="仿宋_GB2312" w:cs="仿宋_GB2312" w:hint="eastAsia"/>
          <w:color w:val="000000"/>
          <w:kern w:val="0"/>
          <w:sz w:val="24"/>
          <w:szCs w:val="24"/>
          <w:lang w:bidi="ar"/>
        </w:rPr>
        <w:t>学校专业技术职务分为教师、思想政治教育、实验技术、图书资料、会计、审计、档案、出版、工程及卫生等专业技术职务，学校根据学科特点和岗位职责要求制定相应系列的申报条件。教师、思想政治教育、实验技术和图书资料系列专业技术职务由我校组织评审，会计、审计、档案、出版、工程及卫生等系列专业技术职务由我校委托省内相应专业技术资格评审委员会评审。</w:t>
      </w:r>
    </w:p>
    <w:p w:rsidR="00E37845" w:rsidRDefault="00E37845">
      <w:pPr>
        <w:adjustRightInd w:val="0"/>
        <w:snapToGrid w:val="0"/>
        <w:spacing w:line="360" w:lineRule="auto"/>
        <w:ind w:firstLineChars="200" w:firstLine="480"/>
        <w:jc w:val="left"/>
        <w:rPr>
          <w:rFonts w:ascii="仿宋_GB2312" w:eastAsia="仿宋_GB2312" w:hAnsi="仿宋_GB2312" w:cs="仿宋_GB2312"/>
          <w:color w:val="000000"/>
          <w:kern w:val="0"/>
          <w:sz w:val="24"/>
          <w:szCs w:val="24"/>
        </w:rPr>
      </w:pPr>
    </w:p>
    <w:p w:rsidR="00E37845" w:rsidRDefault="00E22BDD">
      <w:pPr>
        <w:widowControl/>
        <w:adjustRightInd w:val="0"/>
        <w:snapToGrid w:val="0"/>
        <w:spacing w:line="360" w:lineRule="auto"/>
        <w:ind w:firstLineChars="200" w:firstLine="480"/>
        <w:jc w:val="left"/>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lang w:bidi="ar"/>
        </w:rPr>
        <w:br w:type="page"/>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538" w:name="_Toc7189"/>
      <w:bookmarkStart w:id="539" w:name="_Toc23441"/>
      <w:r>
        <w:rPr>
          <w:rFonts w:ascii="黑体" w:eastAsia="黑体" w:hAnsi="黑体" w:cs="黑体" w:hint="eastAsia"/>
          <w:color w:val="000000" w:themeColor="text1"/>
          <w:sz w:val="28"/>
          <w:szCs w:val="28"/>
        </w:rPr>
        <w:lastRenderedPageBreak/>
        <w:t>4.2.2评聘程序</w:t>
      </w:r>
      <w:bookmarkEnd w:id="538"/>
      <w:bookmarkEnd w:id="539"/>
    </w:p>
    <w:p w:rsidR="00E37845" w:rsidRDefault="00E22BDD">
      <w:pPr>
        <w:adjustRightInd w:val="0"/>
        <w:snapToGrid w:val="0"/>
        <w:spacing w:line="360" w:lineRule="auto"/>
        <w:ind w:firstLineChars="200" w:firstLine="480"/>
        <w:jc w:val="center"/>
        <w:rPr>
          <w:rFonts w:ascii="仿宋_GB2312" w:eastAsia="仿宋_GB2312" w:hAnsi="仿宋_GB2312" w:cs="仿宋_GB2312"/>
          <w:color w:val="000000"/>
          <w:kern w:val="0"/>
          <w:sz w:val="24"/>
          <w:szCs w:val="24"/>
        </w:rPr>
      </w:pPr>
      <w:r>
        <w:rPr>
          <w:rFonts w:ascii="仿宋_GB2312" w:eastAsia="仿宋_GB2312" w:hAnsi="仿宋_GB2312" w:cs="仿宋_GB2312" w:hint="eastAsia"/>
          <w:noProof/>
          <w:color w:val="000000"/>
          <w:kern w:val="0"/>
          <w:sz w:val="24"/>
          <w:szCs w:val="24"/>
        </w:rPr>
        <w:drawing>
          <wp:inline distT="0" distB="0" distL="114300" distR="114300">
            <wp:extent cx="3190875" cy="6524625"/>
            <wp:effectExtent l="0" t="0" r="9525" b="9525"/>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7"/>
                    <a:stretch>
                      <a:fillRect/>
                    </a:stretch>
                  </pic:blipFill>
                  <pic:spPr>
                    <a:xfrm>
                      <a:off x="0" y="0"/>
                      <a:ext cx="3190875" cy="6524625"/>
                    </a:xfrm>
                    <a:prstGeom prst="rect">
                      <a:avLst/>
                    </a:prstGeom>
                    <a:noFill/>
                    <a:ln w="9525">
                      <a:noFill/>
                    </a:ln>
                  </pic:spPr>
                </pic:pic>
              </a:graphicData>
            </a:graphic>
          </wp:inline>
        </w:drawing>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540" w:name="_Toc16318"/>
      <w:bookmarkStart w:id="541" w:name="_Toc21955"/>
      <w:bookmarkStart w:id="542" w:name="_Toc22376"/>
      <w:bookmarkStart w:id="543" w:name="_Toc1496"/>
      <w:bookmarkStart w:id="544" w:name="_Toc8049"/>
      <w:bookmarkStart w:id="545" w:name="_Toc21822"/>
      <w:bookmarkStart w:id="546" w:name="_Toc30103"/>
      <w:bookmarkStart w:id="547" w:name="_Toc25367"/>
      <w:bookmarkStart w:id="548" w:name="_Toc21088"/>
      <w:bookmarkStart w:id="549" w:name="_Toc13458"/>
      <w:bookmarkStart w:id="550" w:name="_Toc26833"/>
      <w:bookmarkStart w:id="551" w:name="_Toc32598"/>
      <w:bookmarkStart w:id="552" w:name="_Toc31381"/>
      <w:bookmarkStart w:id="553" w:name="_Toc22345"/>
      <w:bookmarkStart w:id="554" w:name="_Toc16212"/>
      <w:bookmarkStart w:id="555" w:name="_Toc20785"/>
      <w:bookmarkStart w:id="556" w:name="_Toc16334"/>
      <w:bookmarkStart w:id="557" w:name="_Toc29875"/>
      <w:bookmarkStart w:id="558" w:name="_Toc277"/>
      <w:bookmarkStart w:id="559" w:name="_Toc17692"/>
      <w:bookmarkStart w:id="560" w:name="_Toc32235"/>
      <w:bookmarkStart w:id="561" w:name="_Toc6647"/>
      <w:bookmarkStart w:id="562" w:name="_Toc7703"/>
      <w:bookmarkStart w:id="563" w:name="_Toc519780946"/>
      <w:bookmarkStart w:id="564" w:name="_Toc6321"/>
      <w:bookmarkStart w:id="565" w:name="_Toc14157"/>
      <w:bookmarkStart w:id="566" w:name="_Toc25021"/>
      <w:bookmarkStart w:id="567" w:name="_Toc32465"/>
      <w:bookmarkStart w:id="568" w:name="_Toc15922"/>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rPr>
          <w:rFonts w:ascii="黑体" w:eastAsia="黑体" w:hAnsi="黑体" w:cs="黑体" w:hint="eastAsia"/>
          <w:color w:val="000000" w:themeColor="text1"/>
          <w:sz w:val="28"/>
          <w:szCs w:val="28"/>
        </w:rPr>
        <w:t>4.3年度考核</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rsidR="00E37845" w:rsidRDefault="00E22BDD">
      <w:pPr>
        <w:adjustRightInd w:val="0"/>
        <w:snapToGrid w:val="0"/>
        <w:spacing w:beforeLines="50" w:before="156" w:afterLines="50" w:after="156" w:line="360" w:lineRule="auto"/>
        <w:ind w:firstLineChars="200" w:firstLine="480"/>
        <w:jc w:val="left"/>
        <w:rPr>
          <w:rFonts w:ascii="仿宋_GB2312" w:eastAsia="仿宋_GB2312" w:hAnsi="仿宋_GB2312" w:cs="仿宋_GB2312"/>
          <w:color w:val="000000" w:themeColor="text1"/>
          <w:sz w:val="24"/>
          <w:szCs w:val="24"/>
        </w:rPr>
      </w:pPr>
      <w:bookmarkStart w:id="569" w:name="_Toc31144"/>
      <w:r>
        <w:rPr>
          <w:rFonts w:ascii="仿宋_GB2312" w:eastAsia="仿宋_GB2312" w:hAnsi="仿宋_GB2312" w:cs="仿宋_GB2312" w:hint="eastAsia"/>
          <w:color w:val="000000" w:themeColor="text1"/>
          <w:sz w:val="24"/>
          <w:szCs w:val="24"/>
        </w:rPr>
        <w:t>根据人员分类按教学、科研系列、管理系列</w:t>
      </w:r>
      <w:r>
        <w:rPr>
          <w:rFonts w:ascii="仿宋_GB2312" w:eastAsia="仿宋_GB2312" w:hAnsi="仿宋_GB2312" w:cs="仿宋_GB2312"/>
          <w:color w:val="000000" w:themeColor="text1"/>
          <w:sz w:val="24"/>
          <w:szCs w:val="24"/>
        </w:rPr>
        <w:t>(党政管理人员、政治辅导员)、教辅系列（包括实验、图书资料系列）、工勤系列进行考核。</w:t>
      </w:r>
      <w:bookmarkEnd w:id="569"/>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详见《广州大学教职工学年考核暂行办法》和《广州大学教师年度考核办法补充规定》。</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570" w:name="_Toc26120"/>
      <w:bookmarkStart w:id="571" w:name="_Toc3687"/>
      <w:bookmarkStart w:id="572" w:name="_Toc3190"/>
      <w:bookmarkStart w:id="573" w:name="_Toc18447"/>
      <w:bookmarkStart w:id="574" w:name="_Toc17617"/>
      <w:bookmarkStart w:id="575" w:name="_Toc18624"/>
      <w:bookmarkStart w:id="576" w:name="_Toc29330"/>
      <w:bookmarkStart w:id="577" w:name="_Toc1279"/>
      <w:bookmarkStart w:id="578" w:name="_Toc8642"/>
      <w:bookmarkStart w:id="579" w:name="_Toc12682"/>
      <w:bookmarkStart w:id="580" w:name="_Toc6212"/>
      <w:bookmarkStart w:id="581" w:name="_Toc5979"/>
      <w:bookmarkStart w:id="582" w:name="_Toc18414"/>
      <w:bookmarkStart w:id="583" w:name="_Toc29362"/>
      <w:bookmarkStart w:id="584" w:name="_Toc4715"/>
      <w:bookmarkStart w:id="585" w:name="_Toc31641"/>
      <w:bookmarkStart w:id="586" w:name="_Toc11060"/>
      <w:bookmarkStart w:id="587" w:name="_Toc22130"/>
      <w:bookmarkStart w:id="588" w:name="_Toc519780947"/>
      <w:bookmarkStart w:id="589" w:name="_Toc26640"/>
      <w:bookmarkStart w:id="590" w:name="_Toc4683"/>
      <w:bookmarkStart w:id="591" w:name="_Toc19055"/>
      <w:bookmarkStart w:id="592" w:name="_Toc4322"/>
      <w:bookmarkStart w:id="593" w:name="_Toc934"/>
      <w:bookmarkStart w:id="594" w:name="_Toc16245"/>
      <w:bookmarkStart w:id="595" w:name="_Toc13676"/>
      <w:bookmarkStart w:id="596" w:name="_Toc3222"/>
      <w:bookmarkStart w:id="597" w:name="_Toc8074"/>
      <w:bookmarkStart w:id="598" w:name="_Toc16507"/>
      <w:r>
        <w:rPr>
          <w:rFonts w:ascii="黑体" w:eastAsia="黑体" w:hAnsi="黑体" w:cs="黑体" w:hint="eastAsia"/>
          <w:color w:val="000000" w:themeColor="text1"/>
          <w:sz w:val="28"/>
          <w:szCs w:val="28"/>
        </w:rPr>
        <w:lastRenderedPageBreak/>
        <w:t>4.3.1考核内容</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学年考核主要是对教职员工“德、勤、能、绩”四个方面进行的全面考核。</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德，</w:t>
      </w:r>
      <w:r>
        <w:rPr>
          <w:rFonts w:ascii="仿宋_GB2312" w:eastAsia="仿宋_GB2312" w:hAnsi="仿宋_GB2312" w:cs="仿宋_GB2312"/>
          <w:color w:val="000000" w:themeColor="text1"/>
          <w:sz w:val="24"/>
          <w:szCs w:val="24"/>
        </w:rPr>
        <w:t>包括贯彻党的方针政策，遵纪守法，团结协作，服务意识，思想作风和工作作风等方面的情况。</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勤，</w:t>
      </w:r>
      <w:r>
        <w:rPr>
          <w:rFonts w:ascii="仿宋_GB2312" w:eastAsia="仿宋_GB2312" w:hAnsi="仿宋_GB2312" w:cs="仿宋_GB2312"/>
          <w:color w:val="000000" w:themeColor="text1"/>
          <w:sz w:val="24"/>
          <w:szCs w:val="24"/>
        </w:rPr>
        <w:t>指勤政表现，包括工作的积极性、纪律性、责任感和出勤率。</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能，</w:t>
      </w:r>
      <w:r>
        <w:rPr>
          <w:rFonts w:ascii="仿宋_GB2312" w:eastAsia="仿宋_GB2312" w:hAnsi="仿宋_GB2312" w:cs="仿宋_GB2312"/>
          <w:color w:val="000000" w:themeColor="text1"/>
          <w:sz w:val="24"/>
          <w:szCs w:val="24"/>
        </w:rPr>
        <w:t>指胜任本职工作、履行工作岗位职责的能力，也包括开拓创新、不断进取和协调适应方面的能力。</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绩，</w:t>
      </w:r>
      <w:r>
        <w:rPr>
          <w:rFonts w:ascii="仿宋_GB2312" w:eastAsia="仿宋_GB2312" w:hAnsi="仿宋_GB2312" w:cs="仿宋_GB2312"/>
          <w:color w:val="000000" w:themeColor="text1"/>
          <w:sz w:val="24"/>
          <w:szCs w:val="24"/>
        </w:rPr>
        <w:t>指履行职责情况，完成工作的数量、质量、效率，取得成果的水平及其学术反响、社会效益和经济效益以及本年度内的其他贡献。</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599" w:name="_Toc15655"/>
      <w:bookmarkStart w:id="600" w:name="_Toc4906"/>
      <w:bookmarkStart w:id="601" w:name="_Toc2228"/>
      <w:bookmarkStart w:id="602" w:name="_Toc18465"/>
      <w:bookmarkStart w:id="603" w:name="_Toc28746"/>
      <w:bookmarkStart w:id="604" w:name="_Toc9054"/>
      <w:bookmarkStart w:id="605" w:name="_Toc747"/>
      <w:bookmarkStart w:id="606" w:name="_Toc940"/>
      <w:bookmarkStart w:id="607" w:name="_Toc10485"/>
      <w:bookmarkStart w:id="608" w:name="_Toc32703"/>
      <w:bookmarkStart w:id="609" w:name="_Toc15296"/>
      <w:bookmarkStart w:id="610" w:name="_Toc4918"/>
      <w:bookmarkStart w:id="611" w:name="_Toc27994"/>
      <w:bookmarkStart w:id="612" w:name="_Toc22954"/>
      <w:bookmarkStart w:id="613" w:name="_Toc18022"/>
      <w:bookmarkStart w:id="614" w:name="_Toc22813"/>
      <w:bookmarkStart w:id="615" w:name="_Toc30434"/>
      <w:bookmarkStart w:id="616" w:name="_Toc24553"/>
      <w:bookmarkStart w:id="617" w:name="_Toc10326"/>
      <w:bookmarkStart w:id="618" w:name="_Toc31427"/>
      <w:bookmarkStart w:id="619" w:name="_Toc19405"/>
      <w:bookmarkStart w:id="620" w:name="_Toc519780948"/>
      <w:bookmarkStart w:id="621" w:name="_Toc23103"/>
      <w:bookmarkStart w:id="622" w:name="_Toc29324"/>
      <w:bookmarkStart w:id="623" w:name="_Toc11838"/>
      <w:bookmarkStart w:id="624" w:name="_Toc17220"/>
      <w:bookmarkStart w:id="625" w:name="_Toc26672"/>
      <w:bookmarkStart w:id="626" w:name="_Toc16927"/>
      <w:bookmarkStart w:id="627" w:name="_Toc7283"/>
      <w:r>
        <w:rPr>
          <w:rFonts w:ascii="黑体" w:eastAsia="黑体" w:hAnsi="黑体" w:cs="黑体" w:hint="eastAsia"/>
          <w:color w:val="000000" w:themeColor="text1"/>
          <w:sz w:val="28"/>
          <w:szCs w:val="28"/>
        </w:rPr>
        <w:t>4.3.2考核等次及名额</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考核结果分优秀、合格、基本合格、不合格四个等次。其中，以确定优秀、基本合格、不合格三个等次为侧重点。</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教学、科研系列、教辅系列（包括实验、图书资料系列）的考核由思想政治及考勤考核、业绩考核组成，各单项分为</w:t>
      </w:r>
      <w:r>
        <w:rPr>
          <w:rFonts w:ascii="仿宋_GB2312" w:eastAsia="仿宋_GB2312" w:hAnsi="仿宋_GB2312" w:cs="仿宋_GB2312"/>
          <w:color w:val="000000" w:themeColor="text1"/>
          <w:sz w:val="24"/>
          <w:szCs w:val="24"/>
        </w:rPr>
        <w:t>A、B、C、D四个档次。在确定年度业绩考核标准时，科研积分可不作刚性指标，各单位（部门）对各类人员年度考核时可酌情考虑。年度考核结果的等次确定办法如下.</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优秀</w:t>
      </w:r>
      <w:r>
        <w:rPr>
          <w:rFonts w:ascii="仿宋_GB2312" w:eastAsia="仿宋_GB2312" w:hAnsi="仿宋_GB2312" w:cs="仿宋_GB2312"/>
          <w:color w:val="000000" w:themeColor="text1"/>
          <w:sz w:val="24"/>
          <w:szCs w:val="24"/>
        </w:rPr>
        <w:t>.</w:t>
      </w:r>
      <w:r>
        <w:rPr>
          <w:rFonts w:ascii="仿宋_GB2312" w:eastAsia="仿宋_GB2312" w:hAnsi="仿宋_GB2312" w:cs="仿宋_GB2312" w:hint="eastAsia"/>
          <w:color w:val="000000" w:themeColor="text1"/>
          <w:sz w:val="24"/>
          <w:szCs w:val="24"/>
        </w:rPr>
        <w:t>思想政治及考勤考核、业绩考核均为</w:t>
      </w:r>
      <w:r>
        <w:rPr>
          <w:rFonts w:ascii="仿宋_GB2312" w:eastAsia="仿宋_GB2312" w:hAnsi="仿宋_GB2312" w:cs="仿宋_GB2312"/>
          <w:color w:val="000000" w:themeColor="text1"/>
          <w:sz w:val="24"/>
          <w:szCs w:val="24"/>
        </w:rPr>
        <w:t>A;</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合格</w:t>
      </w:r>
      <w:r>
        <w:rPr>
          <w:rFonts w:ascii="仿宋_GB2312" w:eastAsia="仿宋_GB2312" w:hAnsi="仿宋_GB2312" w:cs="仿宋_GB2312"/>
          <w:color w:val="000000" w:themeColor="text1"/>
          <w:sz w:val="24"/>
          <w:szCs w:val="24"/>
        </w:rPr>
        <w:t>.</w:t>
      </w:r>
      <w:r>
        <w:rPr>
          <w:rFonts w:ascii="仿宋_GB2312" w:eastAsia="仿宋_GB2312" w:hAnsi="仿宋_GB2312" w:cs="仿宋_GB2312" w:hint="eastAsia"/>
          <w:color w:val="000000" w:themeColor="text1"/>
          <w:sz w:val="24"/>
          <w:szCs w:val="24"/>
        </w:rPr>
        <w:t>思想政治及考勤考核</w:t>
      </w:r>
      <w:r>
        <w:rPr>
          <w:rFonts w:ascii="仿宋_GB2312" w:eastAsia="仿宋_GB2312" w:hAnsi="仿宋_GB2312" w:cs="仿宋_GB2312"/>
          <w:color w:val="000000" w:themeColor="text1"/>
          <w:sz w:val="24"/>
          <w:szCs w:val="24"/>
        </w:rPr>
        <w:t>B及以上且业绩考核均为C及以上；</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基本合格</w:t>
      </w:r>
      <w:r>
        <w:rPr>
          <w:rFonts w:ascii="仿宋_GB2312" w:eastAsia="仿宋_GB2312" w:hAnsi="仿宋_GB2312" w:cs="仿宋_GB2312"/>
          <w:color w:val="000000" w:themeColor="text1"/>
          <w:sz w:val="24"/>
          <w:szCs w:val="24"/>
        </w:rPr>
        <w:t>.</w:t>
      </w:r>
      <w:r>
        <w:rPr>
          <w:rFonts w:ascii="仿宋_GB2312" w:eastAsia="仿宋_GB2312" w:hAnsi="仿宋_GB2312" w:cs="仿宋_GB2312" w:hint="eastAsia"/>
          <w:color w:val="000000" w:themeColor="text1"/>
          <w:sz w:val="24"/>
          <w:szCs w:val="24"/>
        </w:rPr>
        <w:t>思想政治及考勤考核为</w:t>
      </w:r>
      <w:r>
        <w:rPr>
          <w:rFonts w:ascii="仿宋_GB2312" w:eastAsia="仿宋_GB2312" w:hAnsi="仿宋_GB2312" w:cs="仿宋_GB2312"/>
          <w:color w:val="000000" w:themeColor="text1"/>
          <w:sz w:val="24"/>
          <w:szCs w:val="24"/>
        </w:rPr>
        <w:t>C且业绩考核为C及以上;或思想政治及考勤考核为B及以上且业绩考核为D。</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shd w:val="pct10" w:color="auto" w:fill="FFFFFF"/>
        </w:rPr>
      </w:pPr>
      <w:r>
        <w:rPr>
          <w:rFonts w:ascii="仿宋_GB2312" w:eastAsia="仿宋_GB2312" w:hAnsi="仿宋_GB2312" w:cs="仿宋_GB2312" w:hint="eastAsia"/>
          <w:color w:val="000000" w:themeColor="text1"/>
          <w:sz w:val="24"/>
          <w:szCs w:val="24"/>
        </w:rPr>
        <w:t>不合格</w:t>
      </w:r>
      <w:r>
        <w:rPr>
          <w:rFonts w:ascii="仿宋_GB2312" w:eastAsia="仿宋_GB2312" w:hAnsi="仿宋_GB2312" w:cs="仿宋_GB2312"/>
          <w:color w:val="000000" w:themeColor="text1"/>
          <w:sz w:val="24"/>
          <w:szCs w:val="24"/>
        </w:rPr>
        <w:t>.</w:t>
      </w:r>
      <w:r>
        <w:rPr>
          <w:rFonts w:ascii="仿宋_GB2312" w:eastAsia="仿宋_GB2312" w:hAnsi="仿宋_GB2312" w:cs="仿宋_GB2312" w:hint="eastAsia"/>
          <w:color w:val="000000" w:themeColor="text1"/>
          <w:sz w:val="24"/>
          <w:szCs w:val="24"/>
        </w:rPr>
        <w:t>思想政治及考勤考核为</w:t>
      </w:r>
      <w:r>
        <w:rPr>
          <w:rFonts w:ascii="仿宋_GB2312" w:eastAsia="仿宋_GB2312" w:hAnsi="仿宋_GB2312" w:cs="仿宋_GB2312"/>
          <w:color w:val="000000" w:themeColor="text1"/>
          <w:sz w:val="24"/>
          <w:szCs w:val="24"/>
        </w:rPr>
        <w:t>D；或思想政治及考勤考核为C且业绩考核为D。</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shd w:val="pct10" w:color="auto" w:fill="FFFFFF"/>
        </w:rPr>
      </w:pPr>
      <w:r>
        <w:rPr>
          <w:rFonts w:ascii="仿宋_GB2312" w:eastAsia="仿宋_GB2312" w:hAnsi="仿宋_GB2312" w:cs="仿宋_GB2312" w:hint="eastAsia"/>
          <w:color w:val="000000" w:themeColor="text1"/>
          <w:sz w:val="24"/>
          <w:szCs w:val="24"/>
        </w:rPr>
        <w:t>管理系列</w:t>
      </w:r>
      <w:r>
        <w:rPr>
          <w:rFonts w:ascii="仿宋_GB2312" w:eastAsia="仿宋_GB2312" w:hAnsi="仿宋_GB2312" w:cs="仿宋_GB2312"/>
          <w:color w:val="000000" w:themeColor="text1"/>
          <w:sz w:val="24"/>
          <w:szCs w:val="24"/>
        </w:rPr>
        <w:t>(分为中层党政管理人员、科级及以下党政管理人员、政治辅导员)、工勤系列按各系列考核标准确定年度考核等次。</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学校确定优秀等次人数控制在参加考核人数的</w:t>
      </w:r>
      <w:r>
        <w:rPr>
          <w:rFonts w:ascii="仿宋_GB2312" w:eastAsia="仿宋_GB2312" w:hAnsi="仿宋_GB2312" w:cs="仿宋_GB2312"/>
          <w:color w:val="000000" w:themeColor="text1"/>
          <w:sz w:val="24"/>
          <w:szCs w:val="24"/>
        </w:rPr>
        <w:t>15%以内。各考核单位上报的优秀人数应小于实际参加考核人数（学院党政领导、机关各部门正、副职领导及享受正、副处级待遇人数应在计算总数时扣除）的15%。</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628" w:name="_Toc19202"/>
      <w:bookmarkStart w:id="629" w:name="_Toc15634"/>
      <w:bookmarkStart w:id="630" w:name="_Toc18936"/>
      <w:bookmarkStart w:id="631" w:name="_Toc9857"/>
      <w:bookmarkStart w:id="632" w:name="_Toc11242"/>
      <w:bookmarkStart w:id="633" w:name="_Toc32360"/>
      <w:bookmarkStart w:id="634" w:name="_Toc17924"/>
      <w:bookmarkStart w:id="635" w:name="_Toc8086"/>
      <w:bookmarkStart w:id="636" w:name="_Toc5625"/>
      <w:bookmarkStart w:id="637" w:name="_Toc25299"/>
      <w:bookmarkStart w:id="638" w:name="_Toc10318"/>
      <w:bookmarkStart w:id="639" w:name="_Toc29990"/>
      <w:bookmarkStart w:id="640" w:name="_Toc18791"/>
      <w:bookmarkStart w:id="641" w:name="_Toc60"/>
      <w:bookmarkStart w:id="642" w:name="_Toc17208"/>
      <w:bookmarkStart w:id="643" w:name="_Toc6806"/>
      <w:bookmarkStart w:id="644" w:name="_Toc19951"/>
      <w:bookmarkStart w:id="645" w:name="_Toc26094"/>
      <w:bookmarkStart w:id="646" w:name="_Toc4482"/>
      <w:bookmarkStart w:id="647" w:name="_Toc21151"/>
      <w:bookmarkStart w:id="648" w:name="_Toc3727"/>
      <w:bookmarkStart w:id="649" w:name="_Toc14649"/>
      <w:bookmarkStart w:id="650" w:name="_Toc14580"/>
      <w:bookmarkStart w:id="651" w:name="_Toc519780949"/>
      <w:bookmarkStart w:id="652" w:name="_Toc4808"/>
      <w:bookmarkStart w:id="653" w:name="_Toc18950"/>
      <w:r>
        <w:rPr>
          <w:rFonts w:ascii="黑体" w:eastAsia="黑体" w:hAnsi="黑体" w:cs="黑体" w:hint="eastAsia"/>
          <w:color w:val="000000" w:themeColor="text1"/>
          <w:sz w:val="28"/>
          <w:szCs w:val="28"/>
        </w:rPr>
        <w:lastRenderedPageBreak/>
        <w:t>4.3.3考核结果的使用</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考核材料由各学院</w:t>
      </w:r>
      <w:r>
        <w:rPr>
          <w:rFonts w:ascii="仿宋_GB2312" w:eastAsia="仿宋_GB2312" w:hAnsi="仿宋_GB2312" w:cs="仿宋_GB2312"/>
          <w:color w:val="000000" w:themeColor="text1"/>
          <w:sz w:val="24"/>
          <w:szCs w:val="24"/>
        </w:rPr>
        <w:t>(部、处、所、馆、中心)管理保存，考核登记表报送人事处存入个人档案，作为今后教职工升职、晋级、评选先进、实施奖励、选拔学术骨干及重点培养对象、培训进修等的重要依据。</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学年考核被确定为合格以上等级的教职工，可以按国家及学校规定正常晋升职务、工资，具有接受培训、出国进修、学习的资格。</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当年考核优秀者，按上级及学校有关规定发放奖励工资。各单位对被评为优秀等级的教职员工也可视具体情况由本单位给予一次性奖励。</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在学年考核中被确定为基本合格的，单位领导应对其予以告诫，指出存在问题，限期改进。</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654" w:name="_Toc31012"/>
      <w:bookmarkStart w:id="655" w:name="_Toc27748"/>
      <w:bookmarkStart w:id="656" w:name="_Toc6200"/>
      <w:bookmarkStart w:id="657" w:name="_Toc19931"/>
      <w:bookmarkStart w:id="658" w:name="_Toc32053"/>
      <w:bookmarkStart w:id="659" w:name="_Toc20665"/>
      <w:bookmarkStart w:id="660" w:name="_Toc16776"/>
      <w:bookmarkStart w:id="661" w:name="_Toc5579"/>
      <w:bookmarkStart w:id="662" w:name="_Toc5948"/>
      <w:bookmarkStart w:id="663" w:name="_Toc14912"/>
      <w:bookmarkStart w:id="664" w:name="_Toc12111"/>
      <w:bookmarkStart w:id="665" w:name="_Toc5439"/>
      <w:bookmarkStart w:id="666" w:name="_Toc30558"/>
      <w:bookmarkStart w:id="667" w:name="_Toc11792"/>
      <w:bookmarkStart w:id="668" w:name="_Toc15144"/>
      <w:bookmarkStart w:id="669" w:name="_Toc25079"/>
      <w:bookmarkStart w:id="670" w:name="_Toc28449"/>
      <w:bookmarkStart w:id="671" w:name="_Toc12649"/>
      <w:bookmarkStart w:id="672" w:name="_Toc28998"/>
      <w:bookmarkStart w:id="673" w:name="_Toc23074"/>
      <w:bookmarkStart w:id="674" w:name="_Toc519780950"/>
      <w:bookmarkStart w:id="675" w:name="_Toc17859"/>
      <w:bookmarkStart w:id="676" w:name="_Toc2936"/>
      <w:bookmarkStart w:id="677" w:name="_Toc3663"/>
      <w:bookmarkStart w:id="678" w:name="_Toc576"/>
      <w:bookmarkStart w:id="679" w:name="_Toc20969"/>
      <w:bookmarkStart w:id="680" w:name="_Toc19900"/>
      <w:bookmarkStart w:id="681" w:name="_Toc32062"/>
      <w:bookmarkStart w:id="682" w:name="_Toc20445"/>
      <w:r>
        <w:rPr>
          <w:rFonts w:ascii="黑体" w:eastAsia="黑体" w:hAnsi="黑体" w:cs="黑体" w:hint="eastAsia"/>
          <w:color w:val="000000" w:themeColor="text1"/>
          <w:sz w:val="28"/>
          <w:szCs w:val="28"/>
        </w:rPr>
        <w:t>4.4聘期考核</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rsidR="00E37845" w:rsidRDefault="00E22BDD">
      <w:pPr>
        <w:widowControl/>
        <w:adjustRightInd w:val="0"/>
        <w:snapToGrid w:val="0"/>
        <w:spacing w:line="360" w:lineRule="auto"/>
        <w:ind w:right="150" w:firstLineChars="200" w:firstLine="480"/>
        <w:jc w:val="left"/>
        <w:textAlignment w:val="top"/>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聘期考核由基层单位按照《广州大学专业技术人员首轮聘期考核实施方案》，根据本学科特点制定本单位具体的考核方案并组织实施，考核方案和人员考核结果报学校审核并备案。</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683" w:name="_Toc519780951"/>
      <w:bookmarkStart w:id="684" w:name="_Toc29243"/>
      <w:bookmarkStart w:id="685" w:name="_Toc11882"/>
      <w:bookmarkStart w:id="686" w:name="_Toc20076"/>
      <w:bookmarkStart w:id="687" w:name="_Toc26279"/>
      <w:bookmarkStart w:id="688" w:name="_Toc29089"/>
      <w:bookmarkStart w:id="689" w:name="_Toc2597"/>
      <w:bookmarkStart w:id="690" w:name="_Toc4294"/>
      <w:bookmarkStart w:id="691" w:name="_Toc20908"/>
      <w:bookmarkStart w:id="692" w:name="_Toc13258"/>
      <w:bookmarkStart w:id="693" w:name="_Toc26319"/>
      <w:bookmarkStart w:id="694" w:name="_Toc9646"/>
      <w:bookmarkStart w:id="695" w:name="_Toc17980"/>
      <w:bookmarkStart w:id="696" w:name="_Toc20417"/>
      <w:bookmarkStart w:id="697" w:name="_Toc21199"/>
      <w:bookmarkStart w:id="698" w:name="_Toc860"/>
      <w:bookmarkStart w:id="699" w:name="_Toc15456"/>
      <w:bookmarkStart w:id="700" w:name="_Toc28282"/>
      <w:bookmarkStart w:id="701" w:name="_Toc21257"/>
      <w:bookmarkStart w:id="702" w:name="_Toc30338"/>
      <w:bookmarkStart w:id="703" w:name="_Toc31827"/>
      <w:bookmarkStart w:id="704" w:name="_Toc14677"/>
      <w:bookmarkStart w:id="705" w:name="_Toc4182"/>
      <w:bookmarkStart w:id="706" w:name="_Toc8064"/>
      <w:bookmarkStart w:id="707" w:name="_Toc28939"/>
      <w:bookmarkStart w:id="708" w:name="_Toc18068"/>
      <w:bookmarkStart w:id="709" w:name="_Toc6811"/>
      <w:bookmarkStart w:id="710" w:name="_Toc28869"/>
      <w:bookmarkStart w:id="711" w:name="_Toc19565"/>
      <w:r>
        <w:rPr>
          <w:rFonts w:ascii="黑体" w:eastAsia="黑体" w:hAnsi="黑体" w:cs="黑体" w:hint="eastAsia"/>
          <w:color w:val="000000" w:themeColor="text1"/>
          <w:sz w:val="28"/>
          <w:szCs w:val="28"/>
        </w:rPr>
        <w:t>4.4.1考核内容</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rsidR="00E37845" w:rsidRDefault="00E22BDD">
      <w:pPr>
        <w:widowControl/>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一、考核内容主要包括德、能、勤、绩四个方面，重点考核工作实绩，教学任务的完成、对学科建设的贡献，包括对青年教师的培养、团队建设、教学科研成果等，以及取得成果的水平以及社会效益和经济效益。</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德，主要考核思想表现和职业道德表现；</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能，主要考核业务水平、业务能力提高和知识更新情况；</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kern w:val="0"/>
          <w:sz w:val="24"/>
          <w:szCs w:val="24"/>
        </w:rPr>
        <w:t>勤，主要考核工作态度、敬业精神和遵守劳动纪律情况</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绩，主要考核履行岗位职责、完成工作任务的数量、质量、效率、取得成果水平。</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二、考核标准</w:t>
      </w:r>
    </w:p>
    <w:p w:rsidR="00E37845" w:rsidRDefault="00E22BDD">
      <w:pPr>
        <w:widowControl/>
        <w:adjustRightInd w:val="0"/>
        <w:snapToGrid w:val="0"/>
        <w:spacing w:line="360" w:lineRule="auto"/>
        <w:ind w:left="114" w:right="114"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专业技术正高级岗位考核标准详见附件，</w:t>
      </w:r>
      <w:r>
        <w:rPr>
          <w:rFonts w:ascii="仿宋_GB2312" w:eastAsia="仿宋_GB2312" w:hAnsi="仿宋_GB2312" w:cs="仿宋_GB2312"/>
          <w:color w:val="000000" w:themeColor="text1"/>
          <w:kern w:val="0"/>
          <w:sz w:val="24"/>
          <w:szCs w:val="24"/>
        </w:rPr>
        <w:t>5-13级专业技术岗位由各</w:t>
      </w:r>
      <w:r>
        <w:rPr>
          <w:rFonts w:ascii="仿宋_GB2312" w:eastAsia="仿宋_GB2312" w:hAnsi="仿宋_GB2312" w:cs="仿宋_GB2312" w:hint="eastAsia"/>
          <w:color w:val="000000" w:themeColor="text1"/>
          <w:sz w:val="24"/>
          <w:szCs w:val="24"/>
        </w:rPr>
        <w:t>单位</w:t>
      </w:r>
      <w:r>
        <w:rPr>
          <w:rFonts w:ascii="仿宋_GB2312" w:eastAsia="仿宋_GB2312" w:hAnsi="仿宋_GB2312" w:cs="仿宋_GB2312" w:hint="eastAsia"/>
          <w:color w:val="000000" w:themeColor="text1"/>
          <w:kern w:val="0"/>
          <w:sz w:val="24"/>
          <w:szCs w:val="24"/>
        </w:rPr>
        <w:t>根据本学科特点参照广大﹝</w:t>
      </w:r>
      <w:r>
        <w:rPr>
          <w:rFonts w:ascii="仿宋_GB2312" w:eastAsia="仿宋_GB2312" w:hAnsi="仿宋_GB2312" w:cs="仿宋_GB2312"/>
          <w:color w:val="000000" w:themeColor="text1"/>
          <w:kern w:val="0"/>
          <w:sz w:val="24"/>
          <w:szCs w:val="24"/>
        </w:rPr>
        <w:t>2016﹞38号文件的上岗指导意见制定考核标准，优秀率控制在20%以内。</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712" w:name="_Toc18461"/>
      <w:bookmarkStart w:id="713" w:name="_Toc22305"/>
      <w:bookmarkStart w:id="714" w:name="_Toc519780952"/>
      <w:bookmarkStart w:id="715" w:name="_Toc13906"/>
      <w:bookmarkStart w:id="716" w:name="_Toc21699"/>
      <w:bookmarkStart w:id="717" w:name="_Toc28265"/>
      <w:bookmarkStart w:id="718" w:name="_Toc10656"/>
      <w:bookmarkStart w:id="719" w:name="_Toc25227"/>
      <w:bookmarkStart w:id="720" w:name="_Toc25703"/>
      <w:bookmarkStart w:id="721" w:name="_Toc5387"/>
      <w:bookmarkStart w:id="722" w:name="_Toc9714"/>
      <w:bookmarkStart w:id="723" w:name="_Toc29607"/>
      <w:bookmarkStart w:id="724" w:name="_Toc24418"/>
      <w:bookmarkStart w:id="725" w:name="_Toc25520"/>
      <w:bookmarkStart w:id="726" w:name="_Toc17454"/>
      <w:bookmarkStart w:id="727" w:name="_Toc12206"/>
      <w:bookmarkStart w:id="728" w:name="_Toc12252"/>
      <w:bookmarkStart w:id="729" w:name="_Toc25293"/>
      <w:bookmarkStart w:id="730" w:name="_Toc3004"/>
      <w:bookmarkStart w:id="731" w:name="_Toc22635"/>
      <w:bookmarkStart w:id="732" w:name="_Toc11824"/>
      <w:bookmarkStart w:id="733" w:name="_Toc12632"/>
      <w:bookmarkStart w:id="734" w:name="_Toc18421"/>
      <w:bookmarkStart w:id="735" w:name="_Toc6776"/>
      <w:bookmarkStart w:id="736" w:name="_Toc15538"/>
      <w:bookmarkStart w:id="737" w:name="_Toc19809"/>
      <w:bookmarkStart w:id="738" w:name="_Toc1006"/>
      <w:bookmarkStart w:id="739" w:name="_Toc19711"/>
      <w:bookmarkStart w:id="740" w:name="_Toc23644"/>
      <w:r>
        <w:rPr>
          <w:rFonts w:ascii="黑体" w:eastAsia="黑体" w:hAnsi="黑体" w:cs="黑体" w:hint="eastAsia"/>
          <w:color w:val="000000" w:themeColor="text1"/>
          <w:sz w:val="28"/>
          <w:szCs w:val="28"/>
        </w:rPr>
        <w:lastRenderedPageBreak/>
        <w:t>4.4.2考核等次及结果使用</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rsidR="00E37845" w:rsidRDefault="00E22BDD">
      <w:pPr>
        <w:adjustRightInd w:val="0"/>
        <w:snapToGrid w:val="0"/>
        <w:spacing w:line="360" w:lineRule="auto"/>
        <w:ind w:firstLineChars="200" w:firstLine="482"/>
        <w:jc w:val="left"/>
        <w:rPr>
          <w:rFonts w:ascii="仿宋_GB2312" w:eastAsia="仿宋_GB2312" w:hAnsi="仿宋_GB2312" w:cs="仿宋_GB2312"/>
          <w:b/>
          <w:bCs/>
          <w:color w:val="000000" w:themeColor="text1"/>
          <w:sz w:val="24"/>
          <w:szCs w:val="24"/>
        </w:rPr>
      </w:pPr>
      <w:r>
        <w:rPr>
          <w:rFonts w:ascii="黑体" w:eastAsia="黑体" w:hAnsi="黑体" w:cs="黑体" w:hint="eastAsia"/>
          <w:b/>
          <w:bCs/>
          <w:color w:val="000000" w:themeColor="text1"/>
          <w:sz w:val="24"/>
          <w:szCs w:val="24"/>
        </w:rPr>
        <w:t>一、考核等次</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聘期考核结果分为优秀、合格、不合格三个等次。</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聘期内，有下列情形之一者，聘期考核确定为不合格.</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1.</w:t>
      </w:r>
      <w:r>
        <w:rPr>
          <w:rFonts w:ascii="仿宋_GB2312" w:eastAsia="仿宋_GB2312" w:hAnsi="仿宋_GB2312" w:cs="仿宋_GB2312"/>
          <w:color w:val="000000" w:themeColor="text1"/>
          <w:sz w:val="24"/>
          <w:szCs w:val="24"/>
        </w:rPr>
        <w:t>未达到“聘用合同书”规定要求。</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2.</w:t>
      </w:r>
      <w:r>
        <w:rPr>
          <w:rFonts w:ascii="仿宋_GB2312" w:eastAsia="仿宋_GB2312" w:hAnsi="仿宋_GB2312" w:cs="仿宋_GB2312"/>
          <w:color w:val="000000" w:themeColor="text1"/>
          <w:sz w:val="24"/>
          <w:szCs w:val="24"/>
        </w:rPr>
        <w:t>经校学术道德委员会确认，违背学术道德、违反学术规范、剽窃他人成果。</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3.</w:t>
      </w:r>
      <w:r>
        <w:rPr>
          <w:rFonts w:ascii="仿宋_GB2312" w:eastAsia="仿宋_GB2312" w:hAnsi="仿宋_GB2312" w:cs="仿宋_GB2312"/>
          <w:color w:val="000000" w:themeColor="text1"/>
          <w:sz w:val="24"/>
          <w:szCs w:val="24"/>
        </w:rPr>
        <w:t>聘期内年度考核累计两次不合格。</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4.</w:t>
      </w:r>
      <w:r>
        <w:rPr>
          <w:rFonts w:ascii="仿宋_GB2312" w:eastAsia="仿宋_GB2312" w:hAnsi="仿宋_GB2312" w:cs="仿宋_GB2312"/>
          <w:color w:val="000000" w:themeColor="text1"/>
          <w:sz w:val="24"/>
          <w:szCs w:val="24"/>
        </w:rPr>
        <w:t>无理取闹、寻衅滋事，严重影响工作或社会秩序者。</w:t>
      </w:r>
    </w:p>
    <w:p w:rsidR="00E37845" w:rsidRDefault="00E22BDD">
      <w:pPr>
        <w:adjustRightInd w:val="0"/>
        <w:snapToGrid w:val="0"/>
        <w:spacing w:line="360" w:lineRule="auto"/>
        <w:ind w:firstLineChars="200" w:firstLine="482"/>
        <w:jc w:val="left"/>
        <w:rPr>
          <w:rFonts w:ascii="仿宋_GB2312" w:eastAsia="仿宋_GB2312" w:hAnsi="仿宋_GB2312" w:cs="仿宋_GB2312"/>
          <w:b/>
          <w:bCs/>
          <w:color w:val="000000" w:themeColor="text1"/>
          <w:sz w:val="24"/>
          <w:szCs w:val="24"/>
        </w:rPr>
      </w:pPr>
      <w:r>
        <w:rPr>
          <w:rFonts w:ascii="黑体" w:eastAsia="黑体" w:hAnsi="黑体" w:cs="黑体" w:hint="eastAsia"/>
          <w:b/>
          <w:bCs/>
          <w:color w:val="000000" w:themeColor="text1"/>
          <w:sz w:val="24"/>
          <w:szCs w:val="24"/>
        </w:rPr>
        <w:t>二、聘期考核结果的使用</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考核结果是岗位职务续聘、工作岗位调整的主要依据。根据考核情况及岗位工作需要，决定是否续聘、低聘、缓聘、转岗或解聘。所在单位需要将考核结果及时准确地反馈给接受考核人员，充分发挥考核的引导作用。</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r>
        <w:rPr>
          <w:rFonts w:ascii="黑体" w:eastAsia="黑体" w:hAnsi="黑体" w:cs="黑体" w:hint="eastAsia"/>
          <w:color w:val="000000" w:themeColor="text1"/>
          <w:sz w:val="28"/>
          <w:szCs w:val="28"/>
        </w:rPr>
        <w:t>4.5人员管理</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741" w:name="_Toc29365"/>
      <w:bookmarkStart w:id="742" w:name="_Toc12425"/>
      <w:bookmarkStart w:id="743" w:name="_Toc28802"/>
      <w:bookmarkStart w:id="744" w:name="_Toc12239"/>
      <w:bookmarkStart w:id="745" w:name="_Toc15505"/>
      <w:bookmarkStart w:id="746" w:name="_Toc18297"/>
      <w:bookmarkStart w:id="747" w:name="_Toc19214"/>
      <w:bookmarkStart w:id="748" w:name="_Toc10019"/>
      <w:bookmarkStart w:id="749" w:name="_Toc29533"/>
      <w:bookmarkStart w:id="750" w:name="_Toc23091"/>
      <w:bookmarkStart w:id="751" w:name="_Toc11068"/>
      <w:bookmarkStart w:id="752" w:name="_Toc26110"/>
      <w:bookmarkStart w:id="753" w:name="_Toc3866"/>
      <w:bookmarkStart w:id="754" w:name="_Toc5772"/>
      <w:bookmarkStart w:id="755" w:name="_Toc27175"/>
      <w:bookmarkStart w:id="756" w:name="_Toc22055"/>
      <w:bookmarkStart w:id="757" w:name="_Toc23734"/>
      <w:bookmarkStart w:id="758" w:name="_Toc26584"/>
      <w:bookmarkStart w:id="759" w:name="_Toc519780953"/>
      <w:bookmarkStart w:id="760" w:name="_Toc18062"/>
      <w:bookmarkStart w:id="761" w:name="_Toc5224"/>
      <w:bookmarkStart w:id="762" w:name="_Toc23842"/>
      <w:bookmarkStart w:id="763" w:name="_Toc3526"/>
      <w:bookmarkStart w:id="764" w:name="_Toc6559"/>
      <w:bookmarkStart w:id="765" w:name="_Toc9433"/>
      <w:bookmarkStart w:id="766" w:name="_Toc21791"/>
      <w:bookmarkStart w:id="767" w:name="_Toc17291"/>
      <w:bookmarkStart w:id="768" w:name="_Toc11768"/>
      <w:bookmarkStart w:id="769" w:name="_Toc11621"/>
      <w:bookmarkStart w:id="770" w:name="_Hlk519513749"/>
      <w:bookmarkStart w:id="771" w:name="_Hlk519513253"/>
      <w:bookmarkEnd w:id="534"/>
      <w:bookmarkEnd w:id="535"/>
      <w:r>
        <w:rPr>
          <w:rFonts w:ascii="黑体" w:eastAsia="黑体" w:hAnsi="黑体" w:cs="黑体" w:hint="eastAsia"/>
          <w:color w:val="000000" w:themeColor="text1"/>
          <w:sz w:val="28"/>
          <w:szCs w:val="28"/>
        </w:rPr>
        <w:t>4.5.1职员职级聘用管理</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r>
        <w:rPr>
          <w:rFonts w:ascii="黑体" w:eastAsia="黑体" w:hAnsi="黑体" w:cs="黑体" w:hint="eastAsia"/>
          <w:color w:val="000000" w:themeColor="text1"/>
          <w:sz w:val="28"/>
          <w:szCs w:val="28"/>
        </w:rPr>
        <w:t>（详见广大〔2017〕120号）</w:t>
      </w:r>
      <w:bookmarkEnd w:id="763"/>
      <w:bookmarkEnd w:id="764"/>
      <w:bookmarkEnd w:id="765"/>
      <w:bookmarkEnd w:id="766"/>
      <w:bookmarkEnd w:id="767"/>
      <w:bookmarkEnd w:id="768"/>
      <w:bookmarkEnd w:id="769"/>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一、本办法遵循“德才兼备、精干高效、择优聘任、聘约管理”的原则，适用对象为：机关部处、学院、教辅、科研及后勤服务机构中的在编在岗党政管理人员。</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管理岗位职员控制在学校岗位总数的20%左右，设置八个职级，即三至十级职员。在七级至五级职员分别设置A、B、C三个档次，兑现校内相应的岗位绩效工资。</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基本条件：（1）遵纪守法，爱岗敬业，有良好的品行和职业道德；（2）身心健康，有较强的事业心、责任感和服务意识；（3）具有履行岗位职责所需的业务知识和能力；（4）年度考核为合格以上，六级以上职员至少有一次年度考核优秀；（5）一般应具有大专以上文化程度。</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w:t>
      </w:r>
      <w:r>
        <w:rPr>
          <w:rFonts w:ascii="仿宋_GB2312" w:eastAsia="仿宋_GB2312" w:hAnsi="仿宋_GB2312" w:cs="仿宋_GB2312"/>
          <w:color w:val="000000" w:themeColor="text1"/>
          <w:sz w:val="24"/>
          <w:szCs w:val="24"/>
        </w:rPr>
        <w:t>评聘程序分9个步骤：（1）个人报名；（2）单位意见；（3）资格审核；（4）民主测评；（5）提出拟晋升人选；（6）公示；（7）讨论决定拟晋升人选；（8）报市人社局审批；（9）聘任。</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五、职员晋升实行竞聘上岗，各单位根据岗位职数、工作特点、职责制定上</w:t>
      </w:r>
      <w:r>
        <w:rPr>
          <w:rFonts w:ascii="仿宋_GB2312" w:eastAsia="仿宋_GB2312" w:hAnsi="仿宋_GB2312" w:cs="仿宋_GB2312" w:hint="eastAsia"/>
          <w:color w:val="000000" w:themeColor="text1"/>
          <w:sz w:val="24"/>
          <w:szCs w:val="24"/>
        </w:rPr>
        <w:lastRenderedPageBreak/>
        <w:t>岗条件和工作要求，但不低于学校相关条件。一般每</w:t>
      </w:r>
      <w:r>
        <w:rPr>
          <w:rFonts w:ascii="仿宋_GB2312" w:eastAsia="仿宋_GB2312" w:hAnsi="仿宋_GB2312" w:cs="仿宋_GB2312"/>
          <w:color w:val="000000" w:themeColor="text1"/>
          <w:sz w:val="24"/>
          <w:szCs w:val="24"/>
        </w:rPr>
        <w:t>2年评聘一次，具体根据当年岗位职数进行。</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772" w:name="_Toc23425"/>
      <w:bookmarkStart w:id="773" w:name="_Toc26421"/>
      <w:bookmarkStart w:id="774" w:name="_Toc20712"/>
      <w:bookmarkStart w:id="775" w:name="_Toc29733"/>
      <w:bookmarkStart w:id="776" w:name="_Toc15715"/>
      <w:bookmarkStart w:id="777" w:name="_Toc19093"/>
      <w:bookmarkStart w:id="778" w:name="_Toc1833"/>
      <w:bookmarkStart w:id="779" w:name="_Toc519780954"/>
      <w:bookmarkStart w:id="780" w:name="_Toc27644"/>
      <w:bookmarkStart w:id="781" w:name="_Toc22588"/>
      <w:bookmarkStart w:id="782" w:name="_Toc11873"/>
      <w:bookmarkStart w:id="783" w:name="_Toc4141"/>
      <w:bookmarkStart w:id="784" w:name="_Toc21305"/>
      <w:bookmarkStart w:id="785" w:name="_Toc10572"/>
      <w:bookmarkStart w:id="786" w:name="_Toc12639"/>
      <w:bookmarkStart w:id="787" w:name="_Toc32678"/>
      <w:bookmarkStart w:id="788" w:name="_Toc10915"/>
      <w:bookmarkStart w:id="789" w:name="_Toc30918"/>
      <w:bookmarkStart w:id="790" w:name="_Toc32672"/>
      <w:bookmarkStart w:id="791" w:name="_Toc30845"/>
      <w:bookmarkStart w:id="792" w:name="_Toc264"/>
      <w:bookmarkStart w:id="793" w:name="_Toc3669"/>
      <w:bookmarkStart w:id="794" w:name="_Toc6546"/>
      <w:bookmarkStart w:id="795" w:name="_Toc30584"/>
      <w:bookmarkStart w:id="796" w:name="_Toc21502"/>
      <w:bookmarkStart w:id="797" w:name="_Toc17522"/>
      <w:bookmarkStart w:id="798" w:name="_Toc27904"/>
      <w:bookmarkStart w:id="799" w:name="_Toc26130"/>
      <w:bookmarkStart w:id="800" w:name="_Toc26096"/>
      <w:r>
        <w:rPr>
          <w:rFonts w:ascii="黑体" w:eastAsia="黑体" w:hAnsi="黑体" w:cs="黑体" w:hint="eastAsia"/>
          <w:color w:val="000000" w:themeColor="text1"/>
          <w:sz w:val="28"/>
          <w:szCs w:val="28"/>
        </w:rPr>
        <w:t>4.5.2非事业单位编制人员用工管理</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r>
        <w:rPr>
          <w:rFonts w:ascii="黑体" w:eastAsia="黑体" w:hAnsi="黑体" w:cs="黑体" w:hint="eastAsia"/>
          <w:color w:val="000000" w:themeColor="text1"/>
          <w:sz w:val="28"/>
          <w:szCs w:val="28"/>
        </w:rPr>
        <w:t>（详见广大〔2017〕85号）</w:t>
      </w:r>
      <w:bookmarkEnd w:id="794"/>
      <w:bookmarkEnd w:id="795"/>
      <w:bookmarkEnd w:id="796"/>
      <w:bookmarkEnd w:id="797"/>
      <w:bookmarkEnd w:id="798"/>
      <w:bookmarkEnd w:id="799"/>
      <w:bookmarkEnd w:id="800"/>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pacing w:val="2"/>
          <w:sz w:val="24"/>
          <w:szCs w:val="24"/>
        </w:rPr>
      </w:pPr>
      <w:r>
        <w:rPr>
          <w:rFonts w:ascii="仿宋_GB2312" w:eastAsia="仿宋_GB2312" w:hAnsi="仿宋_GB2312" w:cs="仿宋_GB2312" w:hint="eastAsia"/>
          <w:color w:val="000000" w:themeColor="text1"/>
          <w:kern w:val="0"/>
          <w:sz w:val="24"/>
          <w:szCs w:val="24"/>
        </w:rPr>
        <w:t>一、</w:t>
      </w:r>
      <w:r>
        <w:rPr>
          <w:rFonts w:ascii="仿宋_GB2312" w:eastAsia="仿宋_GB2312" w:hAnsi="仿宋_GB2312" w:cs="仿宋_GB2312" w:hint="eastAsia"/>
          <w:color w:val="000000" w:themeColor="text1"/>
          <w:spacing w:val="2"/>
          <w:sz w:val="24"/>
          <w:szCs w:val="24"/>
        </w:rPr>
        <w:t>非事业编制人员是指依据劳务派遣协议以及特聘协议承担我校教学、科研、管理或其他工作任务的人员，</w:t>
      </w:r>
      <w:r>
        <w:rPr>
          <w:rFonts w:ascii="仿宋_GB2312" w:eastAsia="仿宋_GB2312" w:hAnsi="仿宋_GB2312" w:cs="仿宋_GB2312" w:hint="eastAsia"/>
          <w:color w:val="000000" w:themeColor="text1"/>
          <w:sz w:val="24"/>
          <w:szCs w:val="24"/>
        </w:rPr>
        <w:t>分为一级用工和二级用工两种类型</w:t>
      </w:r>
      <w:r>
        <w:rPr>
          <w:rFonts w:ascii="仿宋_GB2312" w:eastAsia="仿宋_GB2312" w:hAnsi="仿宋_GB2312" w:cs="仿宋_GB2312" w:hint="eastAsia"/>
          <w:color w:val="000000" w:themeColor="text1"/>
          <w:spacing w:val="2"/>
          <w:sz w:val="24"/>
          <w:szCs w:val="24"/>
        </w:rPr>
        <w:t>。</w:t>
      </w:r>
      <w:r>
        <w:rPr>
          <w:rFonts w:ascii="仿宋_GB2312" w:eastAsia="仿宋_GB2312" w:hAnsi="仿宋_GB2312" w:cs="仿宋_GB2312" w:hint="eastAsia"/>
          <w:color w:val="000000" w:themeColor="text1"/>
          <w:sz w:val="24"/>
          <w:szCs w:val="24"/>
        </w:rPr>
        <w:t>实行“谁用工、谁管理、谁负责”，按照“按需设岗、归口管理”的原则从严控制。</w:t>
      </w:r>
    </w:p>
    <w:p w:rsidR="00E37845" w:rsidRDefault="00E22BDD">
      <w:pPr>
        <w:adjustRightInd w:val="0"/>
        <w:snapToGrid w:val="0"/>
        <w:spacing w:line="360" w:lineRule="auto"/>
        <w:ind w:firstLineChars="200" w:firstLine="488"/>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pacing w:val="2"/>
          <w:sz w:val="24"/>
          <w:szCs w:val="24"/>
        </w:rPr>
        <w:t>二、</w:t>
      </w:r>
      <w:r>
        <w:rPr>
          <w:rFonts w:ascii="仿宋_GB2312" w:eastAsia="仿宋_GB2312" w:hAnsi="仿宋_GB2312" w:cs="仿宋_GB2312" w:hint="eastAsia"/>
          <w:color w:val="000000" w:themeColor="text1"/>
          <w:sz w:val="24"/>
          <w:szCs w:val="24"/>
        </w:rPr>
        <w:t>一级用工由学校统筹经费，纳入用工部门核定人员岗位数量。二级用工由校属各部门自筹经费，由用工部门根据实际需要聘请，主要安排在临时性、辅助性或者阶段性工作，不占用工单位人员岗位数量。</w:t>
      </w:r>
    </w:p>
    <w:p w:rsidR="00E37845" w:rsidRDefault="00E22BDD">
      <w:pPr>
        <w:adjustRightInd w:val="0"/>
        <w:snapToGrid w:val="0"/>
        <w:spacing w:line="360" w:lineRule="auto"/>
        <w:ind w:firstLineChars="200" w:firstLine="488"/>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pacing w:val="2"/>
          <w:sz w:val="24"/>
          <w:szCs w:val="24"/>
        </w:rPr>
        <w:t>三、</w:t>
      </w:r>
      <w:r>
        <w:rPr>
          <w:rFonts w:ascii="仿宋_GB2312" w:eastAsia="仿宋_GB2312" w:hAnsi="仿宋_GB2312" w:cs="仿宋_GB2312" w:hint="eastAsia"/>
          <w:color w:val="000000" w:themeColor="text1"/>
          <w:sz w:val="24"/>
          <w:szCs w:val="24"/>
        </w:rPr>
        <w:t>非事业编制人员</w:t>
      </w:r>
      <w:r>
        <w:rPr>
          <w:rFonts w:ascii="仿宋_GB2312" w:eastAsia="仿宋_GB2312" w:hAnsi="仿宋_GB2312" w:cs="仿宋_GB2312" w:hint="eastAsia"/>
          <w:color w:val="000000" w:themeColor="text1"/>
          <w:kern w:val="0"/>
          <w:sz w:val="24"/>
          <w:szCs w:val="24"/>
        </w:rPr>
        <w:t>统一实行劳务派遣（特聘人员除外），</w:t>
      </w:r>
      <w:r>
        <w:rPr>
          <w:rFonts w:ascii="仿宋_GB2312" w:eastAsia="仿宋_GB2312" w:hAnsi="仿宋_GB2312" w:cs="仿宋_GB2312" w:hint="eastAsia"/>
          <w:color w:val="000000" w:themeColor="text1"/>
          <w:sz w:val="24"/>
          <w:szCs w:val="24"/>
        </w:rPr>
        <w:t>根据用工类型各自支付相关费用。依据劳务派遣协议，非事业编制人员的招聘、薪酬标准、工资发放、日常管理等事项由我校代为履行。特聘岗位由学校与特聘人员签订聘用合同。</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kern w:val="0"/>
          <w:sz w:val="24"/>
          <w:szCs w:val="24"/>
        </w:rPr>
        <w:t>四、</w:t>
      </w:r>
      <w:r>
        <w:rPr>
          <w:rFonts w:ascii="仿宋_GB2312" w:eastAsia="仿宋_GB2312" w:hAnsi="仿宋_GB2312" w:cs="仿宋_GB2312" w:hint="eastAsia"/>
          <w:color w:val="000000" w:themeColor="text1"/>
          <w:sz w:val="24"/>
          <w:szCs w:val="24"/>
        </w:rPr>
        <w:t>非事业编制人员设置特聘岗位、专业技术岗位（含教学岗、科研岗、辅导员岗、教辅岗）、管理岗位和工勤技能岗四大类别。</w:t>
      </w:r>
    </w:p>
    <w:p w:rsidR="00E37845" w:rsidRDefault="00E22BDD">
      <w:pPr>
        <w:adjustRightInd w:val="0"/>
        <w:snapToGrid w:val="0"/>
        <w:spacing w:line="360" w:lineRule="auto"/>
        <w:ind w:firstLineChars="200" w:firstLine="488"/>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spacing w:val="2"/>
          <w:sz w:val="24"/>
          <w:szCs w:val="24"/>
        </w:rPr>
        <w:t>五、</w:t>
      </w:r>
      <w:r>
        <w:rPr>
          <w:rFonts w:ascii="仿宋_GB2312" w:eastAsia="仿宋_GB2312" w:hAnsi="仿宋_GB2312" w:cs="仿宋_GB2312" w:hint="eastAsia"/>
          <w:color w:val="000000" w:themeColor="text1"/>
          <w:sz w:val="24"/>
          <w:szCs w:val="24"/>
        </w:rPr>
        <w:t>一级</w:t>
      </w:r>
      <w:r>
        <w:rPr>
          <w:rFonts w:ascii="仿宋_GB2312" w:eastAsia="仿宋_GB2312" w:hAnsi="仿宋_GB2312" w:cs="仿宋_GB2312" w:hint="eastAsia"/>
          <w:color w:val="000000" w:themeColor="text1"/>
          <w:kern w:val="0"/>
          <w:sz w:val="24"/>
          <w:szCs w:val="24"/>
        </w:rPr>
        <w:t>用工招聘工作由学校人事处负责；二级用工招聘工作由我校用工部门制定方案报人事处备案后自行负责。</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801" w:name="_Toc14745"/>
      <w:bookmarkStart w:id="802" w:name="_Toc6198"/>
      <w:bookmarkStart w:id="803" w:name="_Toc18777"/>
      <w:bookmarkStart w:id="804" w:name="_Toc3813"/>
      <w:bookmarkStart w:id="805" w:name="_Toc27779"/>
      <w:bookmarkStart w:id="806" w:name="_Toc27122"/>
      <w:bookmarkStart w:id="807" w:name="_Toc12052"/>
      <w:bookmarkStart w:id="808" w:name="_Toc21622"/>
      <w:bookmarkStart w:id="809" w:name="_Toc14279"/>
      <w:bookmarkStart w:id="810" w:name="_Toc19215"/>
      <w:bookmarkStart w:id="811" w:name="_Toc519780955"/>
      <w:bookmarkStart w:id="812" w:name="_Toc7687"/>
      <w:bookmarkStart w:id="813" w:name="_Toc24460"/>
      <w:bookmarkStart w:id="814" w:name="_Toc18741"/>
      <w:bookmarkStart w:id="815" w:name="_Toc31222"/>
      <w:bookmarkStart w:id="816" w:name="_Toc21732"/>
      <w:bookmarkStart w:id="817" w:name="_Toc13918"/>
      <w:bookmarkStart w:id="818" w:name="_Toc32611"/>
      <w:bookmarkStart w:id="819" w:name="_Toc14425"/>
      <w:bookmarkStart w:id="820" w:name="_Toc14017"/>
      <w:bookmarkStart w:id="821" w:name="_Toc6381"/>
      <w:bookmarkStart w:id="822" w:name="_Toc3357"/>
      <w:bookmarkStart w:id="823" w:name="_Toc26534"/>
      <w:bookmarkStart w:id="824" w:name="_Toc25835"/>
      <w:bookmarkStart w:id="825" w:name="_Toc28210"/>
      <w:bookmarkStart w:id="826" w:name="_Toc28097"/>
      <w:bookmarkStart w:id="827" w:name="_Toc3809"/>
      <w:bookmarkStart w:id="828" w:name="_Toc29713"/>
      <w:bookmarkStart w:id="829" w:name="_Toc18829"/>
      <w:bookmarkEnd w:id="770"/>
      <w:r>
        <w:rPr>
          <w:rFonts w:ascii="黑体" w:eastAsia="黑体" w:hAnsi="黑体" w:cs="黑体" w:hint="eastAsia"/>
          <w:color w:val="000000" w:themeColor="text1"/>
          <w:sz w:val="28"/>
          <w:szCs w:val="28"/>
        </w:rPr>
        <w:t>4.5.3教职工校内流动管理</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r>
        <w:rPr>
          <w:rFonts w:ascii="黑体" w:eastAsia="黑体" w:hAnsi="黑体" w:cs="黑体" w:hint="eastAsia"/>
          <w:color w:val="000000" w:themeColor="text1"/>
          <w:sz w:val="28"/>
          <w:szCs w:val="28"/>
        </w:rPr>
        <w:t>（详见广大〔2017〕63号）</w:t>
      </w:r>
      <w:bookmarkEnd w:id="823"/>
      <w:bookmarkEnd w:id="824"/>
      <w:bookmarkEnd w:id="825"/>
      <w:bookmarkEnd w:id="826"/>
      <w:bookmarkEnd w:id="827"/>
      <w:bookmarkEnd w:id="828"/>
      <w:bookmarkEnd w:id="829"/>
    </w:p>
    <w:p w:rsidR="00E37845" w:rsidRDefault="00E22BDD">
      <w:pPr>
        <w:widowControl/>
        <w:adjustRightInd w:val="0"/>
        <w:snapToGrid w:val="0"/>
        <w:spacing w:line="360" w:lineRule="auto"/>
        <w:ind w:firstLineChars="200" w:firstLine="482"/>
        <w:rPr>
          <w:rFonts w:ascii="黑体" w:eastAsia="黑体" w:hAnsi="黑体" w:cs="黑体"/>
          <w:b/>
          <w:bCs/>
          <w:color w:val="000000" w:themeColor="text1"/>
          <w:kern w:val="0"/>
          <w:sz w:val="24"/>
          <w:szCs w:val="24"/>
        </w:rPr>
      </w:pPr>
      <w:r>
        <w:rPr>
          <w:rFonts w:ascii="黑体" w:eastAsia="黑体" w:hAnsi="黑体" w:cs="黑体" w:hint="eastAsia"/>
          <w:b/>
          <w:bCs/>
          <w:color w:val="000000" w:themeColor="text1"/>
          <w:kern w:val="0"/>
          <w:sz w:val="24"/>
          <w:szCs w:val="24"/>
        </w:rPr>
        <w:t>一、适用对象</w:t>
      </w:r>
    </w:p>
    <w:p w:rsidR="00E37845" w:rsidRDefault="00E22BDD">
      <w:pPr>
        <w:widowControl/>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 xml:space="preserve">本规定适用于广州大学专职教师、行政人员、教辅人员，不含工勤人员。 </w:t>
      </w:r>
    </w:p>
    <w:p w:rsidR="00E37845" w:rsidRDefault="00E22BDD">
      <w:pPr>
        <w:widowControl/>
        <w:adjustRightInd w:val="0"/>
        <w:snapToGrid w:val="0"/>
        <w:spacing w:line="360" w:lineRule="auto"/>
        <w:ind w:firstLineChars="200" w:firstLine="482"/>
        <w:rPr>
          <w:rFonts w:ascii="黑体" w:eastAsia="黑体" w:hAnsi="黑体" w:cs="黑体"/>
          <w:b/>
          <w:bCs/>
          <w:color w:val="000000" w:themeColor="text1"/>
          <w:kern w:val="0"/>
          <w:sz w:val="24"/>
          <w:szCs w:val="24"/>
        </w:rPr>
      </w:pPr>
      <w:r>
        <w:rPr>
          <w:rFonts w:ascii="黑体" w:eastAsia="黑体" w:hAnsi="黑体" w:cs="黑体" w:hint="eastAsia"/>
          <w:b/>
          <w:bCs/>
          <w:color w:val="000000" w:themeColor="text1"/>
          <w:kern w:val="0"/>
          <w:sz w:val="24"/>
          <w:szCs w:val="24"/>
        </w:rPr>
        <w:t>二、总体原则</w:t>
      </w:r>
    </w:p>
    <w:p w:rsidR="00E37845" w:rsidRDefault="00E22BDD">
      <w:pPr>
        <w:widowControl/>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（一</w:t>
      </w:r>
      <w:r>
        <w:rPr>
          <w:rFonts w:ascii="仿宋_GB2312" w:eastAsia="仿宋_GB2312" w:hAnsi="仿宋_GB2312" w:cs="仿宋_GB2312"/>
          <w:color w:val="000000" w:themeColor="text1"/>
          <w:kern w:val="0"/>
          <w:sz w:val="24"/>
          <w:szCs w:val="24"/>
        </w:rPr>
        <w:t>）坚持有利于人力资源优化配置，坚持以教学科研为中心的原则；</w:t>
      </w:r>
    </w:p>
    <w:p w:rsidR="00E37845" w:rsidRDefault="00E22BDD">
      <w:pPr>
        <w:widowControl/>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（二</w:t>
      </w:r>
      <w:r>
        <w:rPr>
          <w:rFonts w:ascii="仿宋_GB2312" w:eastAsia="仿宋_GB2312" w:hAnsi="仿宋_GB2312" w:cs="仿宋_GB2312"/>
          <w:color w:val="000000" w:themeColor="text1"/>
          <w:kern w:val="0"/>
          <w:sz w:val="24"/>
          <w:szCs w:val="24"/>
        </w:rPr>
        <w:t>）同类型人员按照双向选择、规范有序流动，管理人员原则上在同一岗位不超过8年；</w:t>
      </w:r>
    </w:p>
    <w:p w:rsidR="00E37845" w:rsidRDefault="00E22BDD">
      <w:pPr>
        <w:widowControl/>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（三</w:t>
      </w:r>
      <w:r>
        <w:rPr>
          <w:rFonts w:ascii="仿宋_GB2312" w:eastAsia="仿宋_GB2312" w:hAnsi="仿宋_GB2312" w:cs="仿宋_GB2312"/>
          <w:color w:val="000000" w:themeColor="text1"/>
          <w:kern w:val="0"/>
          <w:sz w:val="24"/>
          <w:szCs w:val="24"/>
        </w:rPr>
        <w:t>）非同类型人员之间的流动按照条件设定、人职匹配、</w:t>
      </w:r>
      <w:r>
        <w:rPr>
          <w:rFonts w:ascii="仿宋_GB2312" w:eastAsia="仿宋_GB2312" w:hAnsi="仿宋_GB2312" w:cs="仿宋_GB2312" w:hint="eastAsia"/>
          <w:color w:val="000000" w:themeColor="text1"/>
          <w:spacing w:val="4"/>
          <w:kern w:val="0"/>
          <w:sz w:val="24"/>
          <w:szCs w:val="24"/>
        </w:rPr>
        <w:t>总量控制、从严从紧的原则流动，同时按照实际聘任岗位确定待遇</w:t>
      </w:r>
      <w:r>
        <w:rPr>
          <w:rFonts w:ascii="仿宋_GB2312" w:eastAsia="仿宋_GB2312" w:hAnsi="仿宋_GB2312" w:cs="仿宋_GB2312" w:hint="eastAsia"/>
          <w:color w:val="000000" w:themeColor="text1"/>
          <w:kern w:val="0"/>
          <w:sz w:val="24"/>
          <w:szCs w:val="24"/>
        </w:rPr>
        <w:t>；</w:t>
      </w:r>
    </w:p>
    <w:p w:rsidR="00E37845" w:rsidRDefault="00E22BDD">
      <w:pPr>
        <w:widowControl/>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（四</w:t>
      </w:r>
      <w:r>
        <w:rPr>
          <w:rFonts w:ascii="仿宋_GB2312" w:eastAsia="仿宋_GB2312" w:hAnsi="仿宋_GB2312" w:cs="仿宋_GB2312"/>
          <w:color w:val="000000" w:themeColor="text1"/>
          <w:kern w:val="0"/>
          <w:sz w:val="24"/>
          <w:szCs w:val="24"/>
        </w:rPr>
        <w:t>）其他系列人员转任专职教师，要严格依据教师法的有关规定；</w:t>
      </w:r>
    </w:p>
    <w:p w:rsidR="00E37845" w:rsidRDefault="00E22BDD">
      <w:pPr>
        <w:widowControl/>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lastRenderedPageBreak/>
        <w:t>（五</w:t>
      </w:r>
      <w:r>
        <w:rPr>
          <w:rFonts w:ascii="仿宋_GB2312" w:eastAsia="仿宋_GB2312" w:hAnsi="仿宋_GB2312" w:cs="仿宋_GB2312"/>
          <w:color w:val="000000" w:themeColor="text1"/>
          <w:kern w:val="0"/>
          <w:sz w:val="24"/>
          <w:szCs w:val="24"/>
        </w:rPr>
        <w:t>）个别特殊“双肩挑”岗位原则上为中层正职以上或正高职称兼任，由学校从严控制统筹安排。</w:t>
      </w:r>
    </w:p>
    <w:p w:rsidR="00E37845" w:rsidRDefault="00E22BDD">
      <w:pPr>
        <w:widowControl/>
        <w:adjustRightInd w:val="0"/>
        <w:snapToGrid w:val="0"/>
        <w:spacing w:line="360" w:lineRule="auto"/>
        <w:ind w:firstLineChars="200" w:firstLine="482"/>
        <w:rPr>
          <w:rFonts w:ascii="黑体" w:eastAsia="黑体" w:hAnsi="黑体" w:cs="黑体"/>
          <w:b/>
          <w:bCs/>
          <w:color w:val="000000" w:themeColor="text1"/>
          <w:kern w:val="0"/>
          <w:sz w:val="24"/>
          <w:szCs w:val="24"/>
        </w:rPr>
      </w:pPr>
      <w:r>
        <w:rPr>
          <w:rFonts w:ascii="黑体" w:eastAsia="黑体" w:hAnsi="黑体" w:cs="黑体" w:hint="eastAsia"/>
          <w:b/>
          <w:bCs/>
          <w:color w:val="000000" w:themeColor="text1"/>
          <w:kern w:val="0"/>
          <w:sz w:val="24"/>
          <w:szCs w:val="24"/>
        </w:rPr>
        <w:t>三、基本条件</w:t>
      </w:r>
    </w:p>
    <w:p w:rsidR="00E37845" w:rsidRDefault="00E22BDD">
      <w:pPr>
        <w:widowControl/>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（一</w:t>
      </w:r>
      <w:r>
        <w:rPr>
          <w:rFonts w:ascii="仿宋_GB2312" w:eastAsia="仿宋_GB2312" w:hAnsi="仿宋_GB2312" w:cs="仿宋_GB2312"/>
          <w:color w:val="000000" w:themeColor="text1"/>
          <w:kern w:val="0"/>
          <w:sz w:val="24"/>
          <w:szCs w:val="24"/>
        </w:rPr>
        <w:t>）坚持四项基本原则，拥护中国共产党的路线、方针和政策；</w:t>
      </w:r>
    </w:p>
    <w:p w:rsidR="00E37845" w:rsidRDefault="00E22BDD">
      <w:pPr>
        <w:widowControl/>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（二</w:t>
      </w:r>
      <w:r>
        <w:rPr>
          <w:rFonts w:ascii="仿宋_GB2312" w:eastAsia="仿宋_GB2312" w:hAnsi="仿宋_GB2312" w:cs="仿宋_GB2312"/>
          <w:color w:val="000000" w:themeColor="text1"/>
          <w:kern w:val="0"/>
          <w:sz w:val="24"/>
          <w:szCs w:val="24"/>
        </w:rPr>
        <w:t>）忠诚于党和人民的教育事业，遵纪守法，爱岗敬业；</w:t>
      </w:r>
    </w:p>
    <w:p w:rsidR="00E37845" w:rsidRDefault="00E22BDD">
      <w:pPr>
        <w:widowControl/>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（三</w:t>
      </w:r>
      <w:r>
        <w:rPr>
          <w:rFonts w:ascii="仿宋_GB2312" w:eastAsia="仿宋_GB2312" w:hAnsi="仿宋_GB2312" w:cs="仿宋_GB2312"/>
          <w:color w:val="000000" w:themeColor="text1"/>
          <w:kern w:val="0"/>
          <w:sz w:val="24"/>
          <w:szCs w:val="24"/>
        </w:rPr>
        <w:t>）岗位能力测评合格，工作期间年度考核均在合格以上；</w:t>
      </w:r>
    </w:p>
    <w:p w:rsidR="00E37845" w:rsidRDefault="00E22BDD">
      <w:pPr>
        <w:widowControl/>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（四</w:t>
      </w:r>
      <w:r>
        <w:rPr>
          <w:rFonts w:ascii="仿宋_GB2312" w:eastAsia="仿宋_GB2312" w:hAnsi="仿宋_GB2312" w:cs="仿宋_GB2312"/>
          <w:color w:val="000000" w:themeColor="text1"/>
          <w:kern w:val="0"/>
          <w:sz w:val="24"/>
          <w:szCs w:val="24"/>
        </w:rPr>
        <w:t>）调入部门岗位编制有空缺。</w:t>
      </w:r>
    </w:p>
    <w:p w:rsidR="00E37845" w:rsidRDefault="00E22BDD">
      <w:pPr>
        <w:widowControl/>
        <w:adjustRightInd w:val="0"/>
        <w:snapToGrid w:val="0"/>
        <w:spacing w:line="360" w:lineRule="auto"/>
        <w:ind w:firstLineChars="200" w:firstLine="482"/>
        <w:rPr>
          <w:rFonts w:ascii="黑体" w:eastAsia="黑体" w:hAnsi="黑体" w:cs="黑体"/>
          <w:b/>
          <w:bCs/>
          <w:color w:val="000000" w:themeColor="text1"/>
          <w:kern w:val="0"/>
          <w:sz w:val="24"/>
          <w:szCs w:val="24"/>
        </w:rPr>
      </w:pPr>
      <w:r>
        <w:rPr>
          <w:rFonts w:ascii="黑体" w:eastAsia="黑体" w:hAnsi="黑体" w:cs="黑体" w:hint="eastAsia"/>
          <w:b/>
          <w:bCs/>
          <w:color w:val="000000" w:themeColor="text1"/>
          <w:kern w:val="0"/>
          <w:sz w:val="24"/>
          <w:szCs w:val="24"/>
        </w:rPr>
        <w:t>四、行政人员、教辅人员转任专职教师还应具备以下条件</w:t>
      </w:r>
    </w:p>
    <w:p w:rsidR="00E37845" w:rsidRDefault="00E22BDD">
      <w:pPr>
        <w:widowControl/>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（一</w:t>
      </w:r>
      <w:r>
        <w:rPr>
          <w:rFonts w:ascii="仿宋_GB2312" w:eastAsia="仿宋_GB2312" w:hAnsi="仿宋_GB2312" w:cs="仿宋_GB2312"/>
          <w:color w:val="000000" w:themeColor="text1"/>
          <w:kern w:val="0"/>
          <w:sz w:val="24"/>
          <w:szCs w:val="24"/>
        </w:rPr>
        <w:t xml:space="preserve">）具备良好的教师职业道德，自觉践行静心育人、潜心科研的良好风尚； </w:t>
      </w:r>
    </w:p>
    <w:p w:rsidR="00E37845" w:rsidRDefault="00E22BDD">
      <w:pPr>
        <w:widowControl/>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（二</w:t>
      </w:r>
      <w:r>
        <w:rPr>
          <w:rFonts w:ascii="仿宋_GB2312" w:eastAsia="仿宋_GB2312" w:hAnsi="仿宋_GB2312" w:cs="仿宋_GB2312"/>
          <w:color w:val="000000" w:themeColor="text1"/>
          <w:kern w:val="0"/>
          <w:sz w:val="24"/>
          <w:szCs w:val="24"/>
        </w:rPr>
        <w:t>）普通话水平达到国家语言文字工作委员会颁布的《普</w:t>
      </w:r>
      <w:r>
        <w:rPr>
          <w:rFonts w:ascii="仿宋_GB2312" w:eastAsia="仿宋_GB2312" w:hAnsi="仿宋_GB2312" w:cs="仿宋_GB2312" w:hint="eastAsia"/>
          <w:color w:val="000000" w:themeColor="text1"/>
          <w:spacing w:val="4"/>
          <w:kern w:val="0"/>
          <w:sz w:val="24"/>
          <w:szCs w:val="24"/>
        </w:rPr>
        <w:t>通话水平测试等级标准》二级乙等以上标准，并取得相应等级证书</w:t>
      </w:r>
      <w:r>
        <w:rPr>
          <w:rFonts w:ascii="仿宋_GB2312" w:eastAsia="仿宋_GB2312" w:hAnsi="仿宋_GB2312" w:cs="仿宋_GB2312" w:hint="eastAsia"/>
          <w:color w:val="000000" w:themeColor="text1"/>
          <w:kern w:val="0"/>
          <w:sz w:val="24"/>
          <w:szCs w:val="24"/>
        </w:rPr>
        <w:t>；</w:t>
      </w:r>
    </w:p>
    <w:p w:rsidR="00E37845" w:rsidRDefault="00E22BDD">
      <w:pPr>
        <w:widowControl/>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（三</w:t>
      </w:r>
      <w:r>
        <w:rPr>
          <w:rFonts w:ascii="仿宋_GB2312" w:eastAsia="仿宋_GB2312" w:hAnsi="仿宋_GB2312" w:cs="仿宋_GB2312"/>
          <w:color w:val="000000" w:themeColor="text1"/>
          <w:kern w:val="0"/>
          <w:sz w:val="24"/>
          <w:szCs w:val="24"/>
        </w:rPr>
        <w:t xml:space="preserve">）年龄在35周岁以下，具有良好的学术研究或教学发展潜力； </w:t>
      </w:r>
    </w:p>
    <w:p w:rsidR="00E37845" w:rsidRDefault="00E22BDD">
      <w:pPr>
        <w:widowControl/>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（四</w:t>
      </w:r>
      <w:r>
        <w:rPr>
          <w:rFonts w:ascii="仿宋_GB2312" w:eastAsia="仿宋_GB2312" w:hAnsi="仿宋_GB2312" w:cs="仿宋_GB2312"/>
          <w:color w:val="000000" w:themeColor="text1"/>
          <w:kern w:val="0"/>
          <w:sz w:val="24"/>
          <w:szCs w:val="24"/>
        </w:rPr>
        <w:t>）学科专业相符，具有博士学位，达到同年度新教师入职标准（特殊类专业可适度放宽）；</w:t>
      </w:r>
    </w:p>
    <w:p w:rsidR="00E37845" w:rsidRDefault="00E22BDD">
      <w:pPr>
        <w:widowControl/>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（五</w:t>
      </w:r>
      <w:r>
        <w:rPr>
          <w:rFonts w:ascii="仿宋_GB2312" w:eastAsia="仿宋_GB2312" w:hAnsi="仿宋_GB2312" w:cs="仿宋_GB2312"/>
          <w:color w:val="000000" w:themeColor="text1"/>
          <w:kern w:val="0"/>
          <w:sz w:val="24"/>
          <w:szCs w:val="24"/>
        </w:rPr>
        <w:t>）</w:t>
      </w:r>
      <w:r>
        <w:rPr>
          <w:rFonts w:ascii="仿宋_GB2312" w:eastAsia="仿宋_GB2312" w:hAnsi="仿宋_GB2312" w:cs="仿宋_GB2312" w:hint="eastAsia"/>
          <w:color w:val="000000" w:themeColor="text1"/>
          <w:kern w:val="0"/>
          <w:sz w:val="24"/>
          <w:szCs w:val="24"/>
        </w:rPr>
        <w:t>具备良好的教学教育能力，经试讲测评合格。</w:t>
      </w:r>
    </w:p>
    <w:p w:rsidR="00E37845" w:rsidRDefault="00E22BDD">
      <w:pPr>
        <w:widowControl/>
        <w:adjustRightInd w:val="0"/>
        <w:snapToGrid w:val="0"/>
        <w:spacing w:line="360" w:lineRule="auto"/>
        <w:ind w:firstLineChars="200" w:firstLine="482"/>
        <w:rPr>
          <w:rFonts w:ascii="黑体" w:eastAsia="黑体" w:hAnsi="黑体" w:cs="黑体"/>
          <w:b/>
          <w:bCs/>
          <w:color w:val="000000" w:themeColor="text1"/>
          <w:kern w:val="0"/>
          <w:sz w:val="24"/>
          <w:szCs w:val="24"/>
        </w:rPr>
      </w:pPr>
      <w:r>
        <w:rPr>
          <w:rFonts w:ascii="黑体" w:eastAsia="黑体" w:hAnsi="黑体" w:cs="黑体" w:hint="eastAsia"/>
          <w:b/>
          <w:bCs/>
          <w:color w:val="000000" w:themeColor="text1"/>
          <w:kern w:val="0"/>
          <w:sz w:val="24"/>
          <w:szCs w:val="24"/>
        </w:rPr>
        <w:t>五、非同系列人员转任行政、教辅人员还应具备以下条件</w:t>
      </w:r>
    </w:p>
    <w:p w:rsidR="00E37845" w:rsidRDefault="00E22BDD">
      <w:pPr>
        <w:widowControl/>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（一</w:t>
      </w:r>
      <w:r>
        <w:rPr>
          <w:rFonts w:ascii="仿宋_GB2312" w:eastAsia="仿宋_GB2312" w:hAnsi="仿宋_GB2312" w:cs="仿宋_GB2312"/>
          <w:color w:val="000000" w:themeColor="text1"/>
          <w:kern w:val="0"/>
          <w:sz w:val="24"/>
          <w:szCs w:val="24"/>
        </w:rPr>
        <w:t>）符合岗位职责所具备的能力素质和设定条件；</w:t>
      </w:r>
    </w:p>
    <w:p w:rsidR="00E37845" w:rsidRDefault="00E22BDD">
      <w:pPr>
        <w:widowControl/>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（二</w:t>
      </w:r>
      <w:r>
        <w:rPr>
          <w:rFonts w:ascii="仿宋_GB2312" w:eastAsia="仿宋_GB2312" w:hAnsi="仿宋_GB2312" w:cs="仿宋_GB2312"/>
          <w:color w:val="000000" w:themeColor="text1"/>
          <w:kern w:val="0"/>
          <w:sz w:val="24"/>
          <w:szCs w:val="24"/>
        </w:rPr>
        <w:t>）党委部门、辅导员岗位必须是中共党员；</w:t>
      </w:r>
    </w:p>
    <w:p w:rsidR="00E37845" w:rsidRDefault="00E22BDD">
      <w:pPr>
        <w:widowControl/>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（三</w:t>
      </w:r>
      <w:r>
        <w:rPr>
          <w:rFonts w:ascii="仿宋_GB2312" w:eastAsia="仿宋_GB2312" w:hAnsi="仿宋_GB2312" w:cs="仿宋_GB2312"/>
          <w:color w:val="000000" w:themeColor="text1"/>
          <w:kern w:val="0"/>
          <w:sz w:val="24"/>
          <w:szCs w:val="24"/>
        </w:rPr>
        <w:t>）原则上具有硕士以上学位，达到同年度新入职标准；</w:t>
      </w:r>
    </w:p>
    <w:p w:rsidR="00E37845" w:rsidRDefault="00E22BDD">
      <w:pPr>
        <w:widowControl/>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（四</w:t>
      </w:r>
      <w:r>
        <w:rPr>
          <w:rFonts w:ascii="仿宋_GB2312" w:eastAsia="仿宋_GB2312" w:hAnsi="仿宋_GB2312" w:cs="仿宋_GB2312"/>
          <w:color w:val="000000" w:themeColor="text1"/>
          <w:kern w:val="0"/>
          <w:sz w:val="24"/>
          <w:szCs w:val="24"/>
        </w:rPr>
        <w:t>）管理岗位年龄一般在40周岁以下。</w:t>
      </w:r>
    </w:p>
    <w:p w:rsidR="00E37845" w:rsidRDefault="00E22BDD">
      <w:pPr>
        <w:widowControl/>
        <w:adjustRightInd w:val="0"/>
        <w:snapToGrid w:val="0"/>
        <w:spacing w:line="360" w:lineRule="auto"/>
        <w:ind w:firstLineChars="200" w:firstLine="482"/>
        <w:rPr>
          <w:rFonts w:ascii="黑体" w:eastAsia="黑体" w:hAnsi="黑体" w:cs="黑体"/>
          <w:b/>
          <w:bCs/>
          <w:color w:val="000000" w:themeColor="text1"/>
          <w:kern w:val="0"/>
          <w:sz w:val="24"/>
          <w:szCs w:val="24"/>
        </w:rPr>
      </w:pPr>
      <w:r>
        <w:rPr>
          <w:rFonts w:ascii="黑体" w:eastAsia="黑体" w:hAnsi="黑体" w:cs="黑体" w:hint="eastAsia"/>
          <w:b/>
          <w:bCs/>
          <w:color w:val="000000" w:themeColor="text1"/>
          <w:kern w:val="0"/>
          <w:sz w:val="24"/>
          <w:szCs w:val="24"/>
        </w:rPr>
        <w:t>六、转任程序</w:t>
      </w:r>
    </w:p>
    <w:p w:rsidR="00E37845" w:rsidRDefault="00E22BDD">
      <w:pPr>
        <w:widowControl/>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（一</w:t>
      </w:r>
      <w:r>
        <w:rPr>
          <w:rFonts w:ascii="仿宋_GB2312" w:eastAsia="仿宋_GB2312" w:hAnsi="仿宋_GB2312" w:cs="仿宋_GB2312"/>
          <w:color w:val="000000" w:themeColor="text1"/>
          <w:kern w:val="0"/>
          <w:sz w:val="24"/>
          <w:szCs w:val="24"/>
        </w:rPr>
        <w:t>）本人提出书面申请，按要求填写申请表；</w:t>
      </w:r>
    </w:p>
    <w:p w:rsidR="00E37845" w:rsidRDefault="00E22BDD">
      <w:pPr>
        <w:widowControl/>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（二</w:t>
      </w:r>
      <w:r>
        <w:rPr>
          <w:rFonts w:ascii="仿宋_GB2312" w:eastAsia="仿宋_GB2312" w:hAnsi="仿宋_GB2312" w:cs="仿宋_GB2312"/>
          <w:color w:val="000000" w:themeColor="text1"/>
          <w:kern w:val="0"/>
          <w:sz w:val="24"/>
          <w:szCs w:val="24"/>
        </w:rPr>
        <w:t>）调出、调入单位负责人以及分管校领导签批意见；</w:t>
      </w:r>
    </w:p>
    <w:p w:rsidR="00E37845" w:rsidRDefault="00E22BDD">
      <w:pPr>
        <w:widowControl/>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（三</w:t>
      </w:r>
      <w:r>
        <w:rPr>
          <w:rFonts w:ascii="仿宋_GB2312" w:eastAsia="仿宋_GB2312" w:hAnsi="仿宋_GB2312" w:cs="仿宋_GB2312"/>
          <w:color w:val="000000" w:themeColor="text1"/>
          <w:kern w:val="0"/>
          <w:sz w:val="24"/>
          <w:szCs w:val="24"/>
        </w:rPr>
        <w:t>）转任专职教师的，需由调入学院组织教学教育能力测试，经学院教师聘任委员会审议通过后，报学院党政联席会议讨论决定；</w:t>
      </w:r>
    </w:p>
    <w:p w:rsidR="00E37845" w:rsidRDefault="00E22BDD">
      <w:pPr>
        <w:widowControl/>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（四</w:t>
      </w:r>
      <w:r>
        <w:rPr>
          <w:rFonts w:ascii="仿宋_GB2312" w:eastAsia="仿宋_GB2312" w:hAnsi="仿宋_GB2312" w:cs="仿宋_GB2312"/>
          <w:color w:val="000000" w:themeColor="text1"/>
          <w:kern w:val="0"/>
          <w:sz w:val="24"/>
          <w:szCs w:val="24"/>
        </w:rPr>
        <w:t xml:space="preserve">）人事处负责人以及分管人事校领导签批意见； </w:t>
      </w:r>
    </w:p>
    <w:p w:rsidR="00E37845" w:rsidRDefault="00E22BDD">
      <w:pPr>
        <w:widowControl/>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（五</w:t>
      </w:r>
      <w:r>
        <w:rPr>
          <w:rFonts w:ascii="仿宋_GB2312" w:eastAsia="仿宋_GB2312" w:hAnsi="仿宋_GB2312" w:cs="仿宋_GB2312"/>
          <w:color w:val="000000" w:themeColor="text1"/>
          <w:kern w:val="0"/>
          <w:sz w:val="24"/>
          <w:szCs w:val="24"/>
        </w:rPr>
        <w:t>）按校内人员调动程序办理转任手续。</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830" w:name="_Toc5237"/>
      <w:bookmarkStart w:id="831" w:name="_Toc519780956"/>
      <w:bookmarkStart w:id="832" w:name="_Toc11561"/>
      <w:bookmarkStart w:id="833" w:name="_Toc25160"/>
      <w:bookmarkStart w:id="834" w:name="_Toc30088"/>
      <w:bookmarkStart w:id="835" w:name="_Toc4081"/>
      <w:bookmarkStart w:id="836" w:name="_Toc27001"/>
      <w:bookmarkStart w:id="837" w:name="_Toc27519"/>
      <w:bookmarkStart w:id="838" w:name="_Toc14963"/>
      <w:bookmarkStart w:id="839" w:name="_Toc4855"/>
      <w:bookmarkStart w:id="840" w:name="_Toc25882"/>
      <w:bookmarkStart w:id="841" w:name="_Toc14052"/>
      <w:bookmarkStart w:id="842" w:name="_Toc23746"/>
      <w:bookmarkStart w:id="843" w:name="_Toc13562"/>
      <w:bookmarkStart w:id="844" w:name="_Toc17335"/>
      <w:bookmarkStart w:id="845" w:name="_Toc6964"/>
      <w:bookmarkStart w:id="846" w:name="_Toc1079"/>
      <w:bookmarkStart w:id="847" w:name="_Toc16469"/>
      <w:bookmarkStart w:id="848" w:name="_Toc20803"/>
      <w:bookmarkStart w:id="849" w:name="_Toc19594"/>
      <w:bookmarkStart w:id="850" w:name="_Toc715"/>
      <w:bookmarkStart w:id="851" w:name="_Toc18383"/>
      <w:bookmarkStart w:id="852" w:name="_Toc7813"/>
      <w:bookmarkStart w:id="853" w:name="_Toc31499"/>
      <w:bookmarkStart w:id="854" w:name="_Toc23339"/>
      <w:bookmarkStart w:id="855" w:name="_Toc1646"/>
      <w:bookmarkEnd w:id="771"/>
      <w:r>
        <w:rPr>
          <w:rFonts w:ascii="黑体" w:eastAsia="黑体" w:hAnsi="黑体" w:cs="黑体" w:hint="eastAsia"/>
          <w:color w:val="000000" w:themeColor="text1"/>
          <w:sz w:val="28"/>
          <w:szCs w:val="28"/>
        </w:rPr>
        <w:t>4.6薪酬管理</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我校教职工薪酬模式主要有年薪制、基本工资加校内绩效工资制两种形式。</w:t>
      </w:r>
      <w:r>
        <w:rPr>
          <w:rFonts w:ascii="仿宋_GB2312" w:eastAsia="仿宋_GB2312" w:hAnsi="仿宋_GB2312" w:cs="仿宋_GB2312" w:hint="eastAsia"/>
          <w:color w:val="000000" w:themeColor="text1"/>
          <w:kern w:val="0"/>
          <w:sz w:val="24"/>
          <w:szCs w:val="24"/>
        </w:rPr>
        <w:lastRenderedPageBreak/>
        <w:t>年薪制主要针对新引进教学科研人员；基本工资加校内绩效工资制针对除采用年薪制模式以外的所有教职工。</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856" w:name="_Toc28883"/>
      <w:bookmarkStart w:id="857" w:name="_Toc519780957"/>
      <w:bookmarkStart w:id="858" w:name="_Toc8186"/>
      <w:bookmarkStart w:id="859" w:name="_Toc17151"/>
      <w:bookmarkStart w:id="860" w:name="_Toc27188"/>
      <w:bookmarkStart w:id="861" w:name="_Toc16340"/>
      <w:bookmarkStart w:id="862" w:name="_Toc24506"/>
      <w:bookmarkStart w:id="863" w:name="_Toc21526"/>
      <w:bookmarkStart w:id="864" w:name="_Toc108"/>
      <w:bookmarkStart w:id="865" w:name="_Toc12467"/>
      <w:bookmarkStart w:id="866" w:name="_Toc29385"/>
      <w:bookmarkStart w:id="867" w:name="_Toc20533"/>
      <w:bookmarkStart w:id="868" w:name="_Toc31145"/>
      <w:bookmarkStart w:id="869" w:name="_Toc24384"/>
      <w:bookmarkStart w:id="870" w:name="_Toc20459"/>
      <w:bookmarkStart w:id="871" w:name="_Toc16131"/>
      <w:bookmarkStart w:id="872" w:name="_Toc29874"/>
      <w:bookmarkStart w:id="873" w:name="_Toc28250"/>
      <w:bookmarkStart w:id="874" w:name="_Toc3181"/>
      <w:bookmarkStart w:id="875" w:name="_Toc30711"/>
      <w:bookmarkStart w:id="876" w:name="_Toc32436"/>
      <w:bookmarkStart w:id="877" w:name="_Toc30873"/>
      <w:bookmarkStart w:id="878" w:name="_Toc20287"/>
      <w:bookmarkStart w:id="879" w:name="_Toc22493"/>
      <w:bookmarkStart w:id="880" w:name="_Toc1017"/>
      <w:bookmarkStart w:id="881" w:name="_Toc10834"/>
      <w:r>
        <w:rPr>
          <w:rFonts w:ascii="黑体" w:eastAsia="黑体" w:hAnsi="黑体" w:cs="黑体" w:hint="eastAsia"/>
          <w:color w:val="000000" w:themeColor="text1"/>
          <w:sz w:val="28"/>
          <w:szCs w:val="28"/>
        </w:rPr>
        <w:t>4.6.1.1 工资结构</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rsidR="00E37845" w:rsidRDefault="00E22BDD">
      <w:pPr>
        <w:autoSpaceDE w:val="0"/>
        <w:autoSpaceDN w:val="0"/>
        <w:adjustRightInd w:val="0"/>
        <w:snapToGrid w:val="0"/>
        <w:spacing w:line="360" w:lineRule="auto"/>
        <w:ind w:firstLineChars="200" w:firstLine="482"/>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b/>
          <w:bCs/>
          <w:color w:val="000000" w:themeColor="text1"/>
          <w:kern w:val="0"/>
          <w:sz w:val="24"/>
          <w:szCs w:val="24"/>
        </w:rPr>
        <w:t>岗位工资：</w:t>
      </w:r>
      <w:r>
        <w:rPr>
          <w:rFonts w:ascii="仿宋_GB2312" w:eastAsia="仿宋_GB2312" w:hAnsi="仿宋_GB2312" w:cs="仿宋_GB2312" w:hint="eastAsia"/>
          <w:color w:val="000000" w:themeColor="text1"/>
          <w:kern w:val="0"/>
          <w:sz w:val="24"/>
          <w:szCs w:val="24"/>
        </w:rPr>
        <w:t>主要体现工作人员所聘的岗位的职责和要求。事业单位岗位分为专业技术岗位、管理岗位和工勤技能岗位。专业技术岗位设置</w:t>
      </w:r>
      <w:r>
        <w:rPr>
          <w:rFonts w:ascii="仿宋_GB2312" w:eastAsia="仿宋_GB2312" w:hAnsi="仿宋_GB2312" w:cs="仿宋_GB2312"/>
          <w:color w:val="000000" w:themeColor="text1"/>
          <w:kern w:val="0"/>
          <w:sz w:val="24"/>
          <w:szCs w:val="24"/>
        </w:rPr>
        <w:t>13</w:t>
      </w:r>
      <w:r>
        <w:rPr>
          <w:rFonts w:ascii="仿宋_GB2312" w:eastAsia="仿宋_GB2312" w:hAnsi="仿宋_GB2312" w:cs="仿宋_GB2312" w:hint="eastAsia"/>
          <w:color w:val="000000" w:themeColor="text1"/>
          <w:kern w:val="0"/>
          <w:sz w:val="24"/>
          <w:szCs w:val="24"/>
        </w:rPr>
        <w:t>个等级，其中正高</w:t>
      </w:r>
      <w:r>
        <w:rPr>
          <w:rFonts w:ascii="仿宋_GB2312" w:eastAsia="仿宋_GB2312" w:hAnsi="仿宋_GB2312" w:cs="仿宋_GB2312"/>
          <w:color w:val="000000" w:themeColor="text1"/>
          <w:kern w:val="0"/>
          <w:sz w:val="24"/>
          <w:szCs w:val="24"/>
        </w:rPr>
        <w:t>4</w:t>
      </w:r>
      <w:r>
        <w:rPr>
          <w:rFonts w:ascii="仿宋_GB2312" w:eastAsia="仿宋_GB2312" w:hAnsi="仿宋_GB2312" w:cs="仿宋_GB2312" w:hint="eastAsia"/>
          <w:color w:val="000000" w:themeColor="text1"/>
          <w:kern w:val="0"/>
          <w:sz w:val="24"/>
          <w:szCs w:val="24"/>
        </w:rPr>
        <w:t>个等级，专技四级至专技一级；副高</w:t>
      </w:r>
      <w:r>
        <w:rPr>
          <w:rFonts w:ascii="仿宋_GB2312" w:eastAsia="仿宋_GB2312" w:hAnsi="仿宋_GB2312" w:cs="仿宋_GB2312"/>
          <w:color w:val="000000" w:themeColor="text1"/>
          <w:kern w:val="0"/>
          <w:sz w:val="24"/>
          <w:szCs w:val="24"/>
        </w:rPr>
        <w:t xml:space="preserve">3 </w:t>
      </w:r>
      <w:r>
        <w:rPr>
          <w:rFonts w:ascii="仿宋_GB2312" w:eastAsia="仿宋_GB2312" w:hAnsi="仿宋_GB2312" w:cs="仿宋_GB2312" w:hint="eastAsia"/>
          <w:color w:val="000000" w:themeColor="text1"/>
          <w:kern w:val="0"/>
          <w:sz w:val="24"/>
          <w:szCs w:val="24"/>
        </w:rPr>
        <w:t>个等级，专技七级至五级；中级</w:t>
      </w:r>
      <w:r>
        <w:rPr>
          <w:rFonts w:ascii="仿宋_GB2312" w:eastAsia="仿宋_GB2312" w:hAnsi="仿宋_GB2312" w:cs="仿宋_GB2312"/>
          <w:color w:val="000000" w:themeColor="text1"/>
          <w:kern w:val="0"/>
          <w:sz w:val="24"/>
          <w:szCs w:val="24"/>
        </w:rPr>
        <w:t>3</w:t>
      </w:r>
      <w:r>
        <w:rPr>
          <w:rFonts w:ascii="仿宋_GB2312" w:eastAsia="仿宋_GB2312" w:hAnsi="仿宋_GB2312" w:cs="仿宋_GB2312" w:hint="eastAsia"/>
          <w:color w:val="000000" w:themeColor="text1"/>
          <w:kern w:val="0"/>
          <w:sz w:val="24"/>
          <w:szCs w:val="24"/>
        </w:rPr>
        <w:t>个等级，专技十级至专技八级；助理级</w:t>
      </w:r>
      <w:r>
        <w:rPr>
          <w:rFonts w:ascii="仿宋_GB2312" w:eastAsia="仿宋_GB2312" w:hAnsi="仿宋_GB2312" w:cs="仿宋_GB2312"/>
          <w:color w:val="000000" w:themeColor="text1"/>
          <w:kern w:val="0"/>
          <w:sz w:val="24"/>
          <w:szCs w:val="24"/>
        </w:rPr>
        <w:t>2</w:t>
      </w:r>
      <w:r>
        <w:rPr>
          <w:rFonts w:ascii="仿宋_GB2312" w:eastAsia="仿宋_GB2312" w:hAnsi="仿宋_GB2312" w:cs="仿宋_GB2312" w:hint="eastAsia"/>
          <w:color w:val="000000" w:themeColor="text1"/>
          <w:kern w:val="0"/>
          <w:sz w:val="24"/>
          <w:szCs w:val="24"/>
        </w:rPr>
        <w:t>个等级，专技十二级至专技十一级；员级</w:t>
      </w:r>
      <w:r>
        <w:rPr>
          <w:rFonts w:ascii="仿宋_GB2312" w:eastAsia="仿宋_GB2312" w:hAnsi="仿宋_GB2312" w:cs="仿宋_GB2312"/>
          <w:color w:val="000000" w:themeColor="text1"/>
          <w:kern w:val="0"/>
          <w:sz w:val="24"/>
          <w:szCs w:val="24"/>
        </w:rPr>
        <w:t>1</w:t>
      </w:r>
      <w:r>
        <w:rPr>
          <w:rFonts w:ascii="仿宋_GB2312" w:eastAsia="仿宋_GB2312" w:hAnsi="仿宋_GB2312" w:cs="仿宋_GB2312" w:hint="eastAsia"/>
          <w:color w:val="000000" w:themeColor="text1"/>
          <w:kern w:val="0"/>
          <w:sz w:val="24"/>
          <w:szCs w:val="24"/>
        </w:rPr>
        <w:t>个等级，专技十三级；管理岗位设置</w:t>
      </w:r>
      <w:r>
        <w:rPr>
          <w:rFonts w:ascii="仿宋_GB2312" w:eastAsia="仿宋_GB2312" w:hAnsi="仿宋_GB2312" w:cs="仿宋_GB2312"/>
          <w:color w:val="000000" w:themeColor="text1"/>
          <w:kern w:val="0"/>
          <w:sz w:val="24"/>
          <w:szCs w:val="24"/>
        </w:rPr>
        <w:t>10</w:t>
      </w:r>
      <w:r>
        <w:rPr>
          <w:rFonts w:ascii="仿宋_GB2312" w:eastAsia="仿宋_GB2312" w:hAnsi="仿宋_GB2312" w:cs="仿宋_GB2312" w:hint="eastAsia"/>
          <w:color w:val="000000" w:themeColor="text1"/>
          <w:kern w:val="0"/>
          <w:sz w:val="24"/>
          <w:szCs w:val="24"/>
        </w:rPr>
        <w:t>个等级，管理十级至管理一级；工勤技能岗位分为技术工岗位和普通工岗位，技术工岗位设置</w:t>
      </w:r>
      <w:r>
        <w:rPr>
          <w:rFonts w:ascii="仿宋_GB2312" w:eastAsia="仿宋_GB2312" w:hAnsi="仿宋_GB2312" w:cs="仿宋_GB2312"/>
          <w:color w:val="000000" w:themeColor="text1"/>
          <w:kern w:val="0"/>
          <w:sz w:val="24"/>
          <w:szCs w:val="24"/>
        </w:rPr>
        <w:t>5</w:t>
      </w:r>
      <w:r>
        <w:rPr>
          <w:rFonts w:ascii="仿宋_GB2312" w:eastAsia="仿宋_GB2312" w:hAnsi="仿宋_GB2312" w:cs="仿宋_GB2312" w:hint="eastAsia"/>
          <w:color w:val="000000" w:themeColor="text1"/>
          <w:kern w:val="0"/>
          <w:sz w:val="24"/>
          <w:szCs w:val="24"/>
        </w:rPr>
        <w:t>个等级，普通工岗位不分等级。不同等级的岗位对应不同的工资标准。岗位及岗位等级变化，岗位工资相应变化例如：专业技术职务晋升为副高，专业技术岗位等级直接晋升到副高最低档，专技七级，岗位工资为</w:t>
      </w:r>
      <w:r>
        <w:rPr>
          <w:rFonts w:ascii="仿宋_GB2312" w:eastAsia="仿宋_GB2312" w:hAnsi="仿宋_GB2312" w:cs="仿宋_GB2312"/>
          <w:color w:val="000000" w:themeColor="text1"/>
          <w:kern w:val="0"/>
          <w:sz w:val="24"/>
          <w:szCs w:val="24"/>
        </w:rPr>
        <w:t>2210</w:t>
      </w:r>
      <w:r>
        <w:rPr>
          <w:rFonts w:ascii="仿宋_GB2312" w:eastAsia="仿宋_GB2312" w:hAnsi="仿宋_GB2312" w:cs="仿宋_GB2312" w:hint="eastAsia"/>
          <w:color w:val="000000" w:themeColor="text1"/>
          <w:kern w:val="0"/>
          <w:sz w:val="24"/>
          <w:szCs w:val="24"/>
        </w:rPr>
        <w:t>元</w:t>
      </w:r>
      <w:r>
        <w:rPr>
          <w:rFonts w:ascii="仿宋_GB2312" w:eastAsia="仿宋_GB2312" w:hAnsi="仿宋_GB2312" w:cs="仿宋_GB2312"/>
          <w:color w:val="000000" w:themeColor="text1"/>
          <w:kern w:val="0"/>
          <w:sz w:val="24"/>
          <w:szCs w:val="24"/>
        </w:rPr>
        <w:t>/</w:t>
      </w:r>
      <w:r>
        <w:rPr>
          <w:rFonts w:ascii="仿宋_GB2312" w:eastAsia="仿宋_GB2312" w:hAnsi="仿宋_GB2312" w:cs="仿宋_GB2312" w:hint="eastAsia"/>
          <w:color w:val="000000" w:themeColor="text1"/>
          <w:kern w:val="0"/>
          <w:sz w:val="24"/>
          <w:szCs w:val="24"/>
        </w:rPr>
        <w:t>月；副高人员专业技术岗位等级晋升到专技六级，则岗位工资为</w:t>
      </w:r>
      <w:r>
        <w:rPr>
          <w:rFonts w:ascii="仿宋_GB2312" w:eastAsia="仿宋_GB2312" w:hAnsi="仿宋_GB2312" w:cs="仿宋_GB2312"/>
          <w:color w:val="000000" w:themeColor="text1"/>
          <w:kern w:val="0"/>
          <w:sz w:val="24"/>
          <w:szCs w:val="24"/>
        </w:rPr>
        <w:t>2420</w:t>
      </w:r>
      <w:r>
        <w:rPr>
          <w:rFonts w:ascii="仿宋_GB2312" w:eastAsia="仿宋_GB2312" w:hAnsi="仿宋_GB2312" w:cs="仿宋_GB2312" w:hint="eastAsia"/>
          <w:color w:val="000000" w:themeColor="text1"/>
          <w:kern w:val="0"/>
          <w:sz w:val="24"/>
          <w:szCs w:val="24"/>
        </w:rPr>
        <w:t>元</w:t>
      </w:r>
      <w:r>
        <w:rPr>
          <w:rFonts w:ascii="仿宋_GB2312" w:eastAsia="仿宋_GB2312" w:hAnsi="仿宋_GB2312" w:cs="仿宋_GB2312"/>
          <w:color w:val="000000" w:themeColor="text1"/>
          <w:kern w:val="0"/>
          <w:sz w:val="24"/>
          <w:szCs w:val="24"/>
        </w:rPr>
        <w:t>/</w:t>
      </w:r>
      <w:r>
        <w:rPr>
          <w:rFonts w:ascii="仿宋_GB2312" w:eastAsia="仿宋_GB2312" w:hAnsi="仿宋_GB2312" w:cs="仿宋_GB2312" w:hint="eastAsia"/>
          <w:color w:val="000000" w:themeColor="text1"/>
          <w:kern w:val="0"/>
          <w:sz w:val="24"/>
          <w:szCs w:val="24"/>
        </w:rPr>
        <w:t>月；副高人员专业技术岗位等级晋升到专技五级，则岗位工资为</w:t>
      </w:r>
      <w:r>
        <w:rPr>
          <w:rFonts w:ascii="仿宋_GB2312" w:eastAsia="仿宋_GB2312" w:hAnsi="仿宋_GB2312" w:cs="仿宋_GB2312"/>
          <w:color w:val="000000" w:themeColor="text1"/>
          <w:kern w:val="0"/>
          <w:sz w:val="24"/>
          <w:szCs w:val="24"/>
        </w:rPr>
        <w:t>2670</w:t>
      </w:r>
      <w:r>
        <w:rPr>
          <w:rFonts w:ascii="仿宋_GB2312" w:eastAsia="仿宋_GB2312" w:hAnsi="仿宋_GB2312" w:cs="仿宋_GB2312" w:hint="eastAsia"/>
          <w:color w:val="000000" w:themeColor="text1"/>
          <w:kern w:val="0"/>
          <w:sz w:val="24"/>
          <w:szCs w:val="24"/>
        </w:rPr>
        <w:t>元</w:t>
      </w:r>
      <w:r>
        <w:rPr>
          <w:rFonts w:ascii="仿宋_GB2312" w:eastAsia="仿宋_GB2312" w:hAnsi="仿宋_GB2312" w:cs="仿宋_GB2312"/>
          <w:color w:val="000000" w:themeColor="text1"/>
          <w:kern w:val="0"/>
          <w:sz w:val="24"/>
          <w:szCs w:val="24"/>
        </w:rPr>
        <w:t>/</w:t>
      </w:r>
      <w:r>
        <w:rPr>
          <w:rFonts w:ascii="仿宋_GB2312" w:eastAsia="仿宋_GB2312" w:hAnsi="仿宋_GB2312" w:cs="仿宋_GB2312" w:hint="eastAsia"/>
          <w:color w:val="000000" w:themeColor="text1"/>
          <w:kern w:val="0"/>
          <w:sz w:val="24"/>
          <w:szCs w:val="24"/>
        </w:rPr>
        <w:t>月。如专业技术职务从副高晋升为正高，则专业技术岗位等级直接晋升到正高最低档，专技四级，岗位工资为</w:t>
      </w:r>
      <w:r>
        <w:rPr>
          <w:rFonts w:ascii="仿宋_GB2312" w:eastAsia="仿宋_GB2312" w:hAnsi="仿宋_GB2312" w:cs="仿宋_GB2312"/>
          <w:color w:val="000000" w:themeColor="text1"/>
          <w:kern w:val="0"/>
          <w:sz w:val="24"/>
          <w:szCs w:val="24"/>
        </w:rPr>
        <w:t>2900</w:t>
      </w:r>
      <w:r>
        <w:rPr>
          <w:rFonts w:ascii="仿宋_GB2312" w:eastAsia="仿宋_GB2312" w:hAnsi="仿宋_GB2312" w:cs="仿宋_GB2312" w:hint="eastAsia"/>
          <w:color w:val="000000" w:themeColor="text1"/>
          <w:kern w:val="0"/>
          <w:sz w:val="24"/>
          <w:szCs w:val="24"/>
        </w:rPr>
        <w:t>元</w:t>
      </w:r>
      <w:r>
        <w:rPr>
          <w:rFonts w:ascii="仿宋_GB2312" w:eastAsia="仿宋_GB2312" w:hAnsi="仿宋_GB2312" w:cs="仿宋_GB2312"/>
          <w:color w:val="000000" w:themeColor="text1"/>
          <w:kern w:val="0"/>
          <w:sz w:val="24"/>
          <w:szCs w:val="24"/>
        </w:rPr>
        <w:t>/</w:t>
      </w:r>
      <w:r>
        <w:rPr>
          <w:rFonts w:ascii="仿宋_GB2312" w:eastAsia="仿宋_GB2312" w:hAnsi="仿宋_GB2312" w:cs="仿宋_GB2312" w:hint="eastAsia"/>
          <w:color w:val="000000" w:themeColor="text1"/>
          <w:kern w:val="0"/>
          <w:sz w:val="24"/>
          <w:szCs w:val="24"/>
        </w:rPr>
        <w:t>月。</w:t>
      </w:r>
    </w:p>
    <w:p w:rsidR="00E37845" w:rsidRDefault="00E22BDD">
      <w:pPr>
        <w:autoSpaceDE w:val="0"/>
        <w:autoSpaceDN w:val="0"/>
        <w:adjustRightInd w:val="0"/>
        <w:snapToGrid w:val="0"/>
        <w:spacing w:line="360" w:lineRule="auto"/>
        <w:ind w:firstLineChars="200" w:firstLine="482"/>
        <w:jc w:val="left"/>
        <w:rPr>
          <w:rFonts w:ascii="仿宋_GB2312" w:eastAsia="仿宋_GB2312" w:hAnsi="仿宋_GB2312" w:cs="仿宋_GB2312"/>
          <w:color w:val="000000" w:themeColor="text1"/>
          <w:kern w:val="0"/>
          <w:sz w:val="24"/>
          <w:szCs w:val="24"/>
          <w:u w:val="single"/>
        </w:rPr>
      </w:pPr>
      <w:r>
        <w:rPr>
          <w:rFonts w:ascii="仿宋_GB2312" w:eastAsia="仿宋_GB2312" w:hAnsi="仿宋_GB2312" w:cs="仿宋_GB2312" w:hint="eastAsia"/>
          <w:b/>
          <w:bCs/>
          <w:color w:val="000000" w:themeColor="text1"/>
          <w:kern w:val="0"/>
          <w:sz w:val="24"/>
          <w:szCs w:val="24"/>
        </w:rPr>
        <w:t>薪级工资：</w:t>
      </w:r>
      <w:r>
        <w:rPr>
          <w:rFonts w:ascii="仿宋_GB2312" w:eastAsia="仿宋_GB2312" w:hAnsi="仿宋_GB2312" w:cs="仿宋_GB2312" w:hint="eastAsia"/>
          <w:color w:val="000000" w:themeColor="text1"/>
          <w:kern w:val="0"/>
          <w:sz w:val="24"/>
          <w:szCs w:val="24"/>
        </w:rPr>
        <w:t>主要体现工作人员的工作表现和资历。对专业技术人员和管理人员设置</w:t>
      </w:r>
      <w:r>
        <w:rPr>
          <w:rFonts w:ascii="仿宋_GB2312" w:eastAsia="仿宋_GB2312" w:hAnsi="仿宋_GB2312" w:cs="仿宋_GB2312"/>
          <w:color w:val="000000" w:themeColor="text1"/>
          <w:kern w:val="0"/>
          <w:sz w:val="24"/>
          <w:szCs w:val="24"/>
        </w:rPr>
        <w:t>65</w:t>
      </w:r>
      <w:r>
        <w:rPr>
          <w:rFonts w:ascii="仿宋_GB2312" w:eastAsia="仿宋_GB2312" w:hAnsi="仿宋_GB2312" w:cs="仿宋_GB2312" w:hint="eastAsia"/>
          <w:color w:val="000000" w:themeColor="text1"/>
          <w:kern w:val="0"/>
          <w:sz w:val="24"/>
          <w:szCs w:val="24"/>
        </w:rPr>
        <w:t>个薪级，对工人设置</w:t>
      </w:r>
      <w:r>
        <w:rPr>
          <w:rFonts w:ascii="仿宋_GB2312" w:eastAsia="仿宋_GB2312" w:hAnsi="仿宋_GB2312" w:cs="仿宋_GB2312"/>
          <w:color w:val="000000" w:themeColor="text1"/>
          <w:kern w:val="0"/>
          <w:sz w:val="24"/>
          <w:szCs w:val="24"/>
        </w:rPr>
        <w:t>40</w:t>
      </w:r>
      <w:r>
        <w:rPr>
          <w:rFonts w:ascii="仿宋_GB2312" w:eastAsia="仿宋_GB2312" w:hAnsi="仿宋_GB2312" w:cs="仿宋_GB2312" w:hint="eastAsia"/>
          <w:color w:val="000000" w:themeColor="text1"/>
          <w:kern w:val="0"/>
          <w:sz w:val="24"/>
          <w:szCs w:val="24"/>
        </w:rPr>
        <w:t>个薪级，每个薪级对应一个工资标准。对不同岗位规定不同的起点薪级。</w:t>
      </w:r>
      <w:r>
        <w:rPr>
          <w:rFonts w:ascii="仿宋_GB2312" w:eastAsia="仿宋_GB2312" w:hAnsi="仿宋_GB2312" w:cs="仿宋_GB2312"/>
          <w:color w:val="000000" w:themeColor="text1"/>
          <w:kern w:val="0"/>
          <w:sz w:val="24"/>
          <w:szCs w:val="24"/>
        </w:rPr>
        <w:t>2006</w:t>
      </w:r>
      <w:r>
        <w:rPr>
          <w:rFonts w:ascii="仿宋_GB2312" w:eastAsia="仿宋_GB2312" w:hAnsi="仿宋_GB2312" w:cs="仿宋_GB2312" w:hint="eastAsia"/>
          <w:color w:val="000000" w:themeColor="text1"/>
          <w:kern w:val="0"/>
          <w:sz w:val="24"/>
          <w:szCs w:val="24"/>
        </w:rPr>
        <w:t>年在职在岗人员，薪级根据</w:t>
      </w:r>
      <w:r>
        <w:rPr>
          <w:rFonts w:ascii="仿宋_GB2312" w:eastAsia="仿宋_GB2312" w:hAnsi="仿宋_GB2312" w:cs="仿宋_GB2312"/>
          <w:color w:val="000000" w:themeColor="text1"/>
          <w:kern w:val="0"/>
          <w:sz w:val="24"/>
          <w:szCs w:val="24"/>
        </w:rPr>
        <w:t>2006</w:t>
      </w:r>
      <w:r>
        <w:rPr>
          <w:rFonts w:ascii="仿宋_GB2312" w:eastAsia="仿宋_GB2312" w:hAnsi="仿宋_GB2312" w:cs="仿宋_GB2312" w:hint="eastAsia"/>
          <w:color w:val="000000" w:themeColor="text1"/>
          <w:kern w:val="0"/>
          <w:sz w:val="24"/>
          <w:szCs w:val="24"/>
        </w:rPr>
        <w:t>年工改时所聘岗位、任职年限等因素确定，此后，每年年度考核合格及以上，增加一个薪级。对于新入职人员，执行起点薪级，例如：获得博士学位的研究生毕业参加工作，明确岗位后，起点薪级为</w:t>
      </w:r>
      <w:r>
        <w:rPr>
          <w:rFonts w:ascii="仿宋_GB2312" w:eastAsia="仿宋_GB2312" w:hAnsi="仿宋_GB2312" w:cs="仿宋_GB2312"/>
          <w:color w:val="000000" w:themeColor="text1"/>
          <w:kern w:val="0"/>
          <w:sz w:val="24"/>
          <w:szCs w:val="24"/>
        </w:rPr>
        <w:t>14</w:t>
      </w:r>
      <w:r>
        <w:rPr>
          <w:rFonts w:ascii="仿宋_GB2312" w:eastAsia="仿宋_GB2312" w:hAnsi="仿宋_GB2312" w:cs="仿宋_GB2312" w:hint="eastAsia"/>
          <w:color w:val="000000" w:themeColor="text1"/>
          <w:kern w:val="0"/>
          <w:sz w:val="24"/>
          <w:szCs w:val="24"/>
        </w:rPr>
        <w:t>级，薪级工资</w:t>
      </w:r>
      <w:r>
        <w:rPr>
          <w:rFonts w:ascii="仿宋_GB2312" w:eastAsia="仿宋_GB2312" w:hAnsi="仿宋_GB2312" w:cs="仿宋_GB2312"/>
          <w:color w:val="000000" w:themeColor="text1"/>
          <w:kern w:val="0"/>
          <w:sz w:val="24"/>
          <w:szCs w:val="24"/>
        </w:rPr>
        <w:t>657</w:t>
      </w:r>
      <w:r>
        <w:rPr>
          <w:rFonts w:ascii="仿宋_GB2312" w:eastAsia="仿宋_GB2312" w:hAnsi="仿宋_GB2312" w:cs="仿宋_GB2312" w:hint="eastAsia"/>
          <w:color w:val="000000" w:themeColor="text1"/>
          <w:kern w:val="0"/>
          <w:sz w:val="24"/>
          <w:szCs w:val="24"/>
        </w:rPr>
        <w:t>元</w:t>
      </w:r>
      <w:r>
        <w:rPr>
          <w:rFonts w:ascii="仿宋_GB2312" w:eastAsia="仿宋_GB2312" w:hAnsi="仿宋_GB2312" w:cs="仿宋_GB2312"/>
          <w:color w:val="000000" w:themeColor="text1"/>
          <w:kern w:val="0"/>
          <w:sz w:val="24"/>
          <w:szCs w:val="24"/>
        </w:rPr>
        <w:t>/</w:t>
      </w:r>
      <w:r>
        <w:rPr>
          <w:rFonts w:ascii="仿宋_GB2312" w:eastAsia="仿宋_GB2312" w:hAnsi="仿宋_GB2312" w:cs="仿宋_GB2312" w:hint="eastAsia"/>
          <w:color w:val="000000" w:themeColor="text1"/>
          <w:kern w:val="0"/>
          <w:sz w:val="24"/>
          <w:szCs w:val="24"/>
        </w:rPr>
        <w:t>月；获得硕士学位的研究生毕业参加工作，明确岗位后，起点薪级为</w:t>
      </w:r>
      <w:r>
        <w:rPr>
          <w:rFonts w:ascii="仿宋_GB2312" w:eastAsia="仿宋_GB2312" w:hAnsi="仿宋_GB2312" w:cs="仿宋_GB2312"/>
          <w:color w:val="000000" w:themeColor="text1"/>
          <w:kern w:val="0"/>
          <w:sz w:val="24"/>
          <w:szCs w:val="24"/>
        </w:rPr>
        <w:t>11</w:t>
      </w:r>
      <w:r>
        <w:rPr>
          <w:rFonts w:ascii="仿宋_GB2312" w:eastAsia="仿宋_GB2312" w:hAnsi="仿宋_GB2312" w:cs="仿宋_GB2312" w:hint="eastAsia"/>
          <w:color w:val="000000" w:themeColor="text1"/>
          <w:kern w:val="0"/>
          <w:sz w:val="24"/>
          <w:szCs w:val="24"/>
        </w:rPr>
        <w:t>级，薪级工资为</w:t>
      </w:r>
      <w:r>
        <w:rPr>
          <w:rFonts w:ascii="仿宋_GB2312" w:eastAsia="仿宋_GB2312" w:hAnsi="仿宋_GB2312" w:cs="仿宋_GB2312"/>
          <w:color w:val="000000" w:themeColor="text1"/>
          <w:kern w:val="0"/>
          <w:sz w:val="24"/>
          <w:szCs w:val="24"/>
        </w:rPr>
        <w:t>513</w:t>
      </w:r>
      <w:r>
        <w:rPr>
          <w:rFonts w:ascii="仿宋_GB2312" w:eastAsia="仿宋_GB2312" w:hAnsi="仿宋_GB2312" w:cs="仿宋_GB2312" w:hint="eastAsia"/>
          <w:color w:val="000000" w:themeColor="text1"/>
          <w:kern w:val="0"/>
          <w:sz w:val="24"/>
          <w:szCs w:val="24"/>
        </w:rPr>
        <w:t>元</w:t>
      </w:r>
      <w:r>
        <w:rPr>
          <w:rFonts w:ascii="仿宋_GB2312" w:eastAsia="仿宋_GB2312" w:hAnsi="仿宋_GB2312" w:cs="仿宋_GB2312"/>
          <w:color w:val="000000" w:themeColor="text1"/>
          <w:kern w:val="0"/>
          <w:sz w:val="24"/>
          <w:szCs w:val="24"/>
        </w:rPr>
        <w:t>/</w:t>
      </w:r>
      <w:r>
        <w:rPr>
          <w:rFonts w:ascii="仿宋_GB2312" w:eastAsia="仿宋_GB2312" w:hAnsi="仿宋_GB2312" w:cs="仿宋_GB2312" w:hint="eastAsia"/>
          <w:color w:val="000000" w:themeColor="text1"/>
          <w:kern w:val="0"/>
          <w:sz w:val="24"/>
          <w:szCs w:val="24"/>
        </w:rPr>
        <w:t>月。</w:t>
      </w:r>
    </w:p>
    <w:p w:rsidR="00E37845" w:rsidRDefault="00E22BDD">
      <w:pPr>
        <w:autoSpaceDE w:val="0"/>
        <w:autoSpaceDN w:val="0"/>
        <w:adjustRightInd w:val="0"/>
        <w:snapToGrid w:val="0"/>
        <w:spacing w:line="360" w:lineRule="auto"/>
        <w:ind w:firstLineChars="200" w:firstLine="482"/>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b/>
          <w:bCs/>
          <w:color w:val="000000" w:themeColor="text1"/>
          <w:kern w:val="0"/>
          <w:sz w:val="24"/>
          <w:szCs w:val="24"/>
        </w:rPr>
        <w:t>绩效工资：</w:t>
      </w:r>
      <w:r>
        <w:rPr>
          <w:rFonts w:ascii="仿宋_GB2312" w:eastAsia="仿宋_GB2312" w:hAnsi="仿宋_GB2312" w:cs="仿宋_GB2312" w:hint="eastAsia"/>
          <w:color w:val="000000" w:themeColor="text1"/>
          <w:kern w:val="0"/>
          <w:sz w:val="24"/>
          <w:szCs w:val="24"/>
        </w:rPr>
        <w:t>主要体现工作人员的实绩和贡献。国家对事业单位绩效工资分配进行总量调控和政策指导。事业单位在核定的绩效工资总量内，按照规范的程序和要求，自主分配。</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绩效工资包括基础性绩效工资、奖励性绩效工资。基础性绩效工资由学校按有关标准按月发放，奖励性绩效工资由二级单位按有关规定分配，报学校批准后发放。</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882" w:name="_Toc31771"/>
      <w:bookmarkStart w:id="883" w:name="_Toc18248"/>
      <w:bookmarkStart w:id="884" w:name="_Toc7882"/>
      <w:bookmarkStart w:id="885" w:name="_Toc19270"/>
      <w:bookmarkStart w:id="886" w:name="_Toc299"/>
      <w:bookmarkStart w:id="887" w:name="_Toc26411"/>
      <w:bookmarkStart w:id="888" w:name="_Toc405"/>
      <w:bookmarkStart w:id="889" w:name="_Toc14057"/>
      <w:bookmarkStart w:id="890" w:name="_Toc24008"/>
      <w:bookmarkStart w:id="891" w:name="_Toc31362"/>
      <w:bookmarkStart w:id="892" w:name="_Toc28639"/>
      <w:bookmarkStart w:id="893" w:name="_Toc3401"/>
      <w:bookmarkStart w:id="894" w:name="_Toc27007"/>
      <w:bookmarkStart w:id="895" w:name="_Toc15279"/>
      <w:bookmarkStart w:id="896" w:name="_Toc17270"/>
      <w:bookmarkStart w:id="897" w:name="_Toc13860"/>
      <w:bookmarkStart w:id="898" w:name="_Toc12403"/>
      <w:bookmarkStart w:id="899" w:name="_Toc1016"/>
      <w:bookmarkStart w:id="900" w:name="_Toc1589"/>
      <w:bookmarkStart w:id="901" w:name="_Toc519780958"/>
      <w:bookmarkStart w:id="902" w:name="_Toc12367"/>
      <w:bookmarkStart w:id="903" w:name="_Toc5822"/>
      <w:bookmarkStart w:id="904" w:name="_Toc16659"/>
      <w:bookmarkStart w:id="905" w:name="_Toc678"/>
      <w:bookmarkStart w:id="906" w:name="_Toc25640"/>
      <w:bookmarkStart w:id="907" w:name="_Toc14851"/>
      <w:r>
        <w:rPr>
          <w:rFonts w:ascii="黑体" w:eastAsia="黑体" w:hAnsi="黑体" w:cs="黑体" w:hint="eastAsia"/>
          <w:color w:val="000000" w:themeColor="text1"/>
          <w:sz w:val="28"/>
          <w:szCs w:val="28"/>
        </w:rPr>
        <w:lastRenderedPageBreak/>
        <w:t>4.6.1.2工资调整</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一、</w:t>
      </w:r>
      <w:r>
        <w:rPr>
          <w:rFonts w:ascii="仿宋_GB2312" w:eastAsia="仿宋_GB2312" w:hAnsi="仿宋_GB2312" w:cs="仿宋_GB2312"/>
          <w:color w:val="000000" w:themeColor="text1"/>
          <w:kern w:val="0"/>
          <w:sz w:val="24"/>
          <w:szCs w:val="24"/>
        </w:rPr>
        <w:t>年度考核加薪</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年度考核合格及以上等次，每年增加一级薪级工资，从第二年</w:t>
      </w:r>
      <w:r>
        <w:rPr>
          <w:rFonts w:ascii="仿宋_GB2312" w:eastAsia="仿宋_GB2312" w:hAnsi="仿宋_GB2312" w:cs="仿宋_GB2312"/>
          <w:color w:val="000000" w:themeColor="text1"/>
          <w:kern w:val="0"/>
          <w:sz w:val="24"/>
          <w:szCs w:val="24"/>
        </w:rPr>
        <w:t>1月起执行。</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二、</w:t>
      </w:r>
      <w:r>
        <w:rPr>
          <w:rFonts w:ascii="仿宋_GB2312" w:eastAsia="仿宋_GB2312" w:hAnsi="仿宋_GB2312" w:cs="仿宋_GB2312"/>
          <w:color w:val="000000" w:themeColor="text1"/>
          <w:kern w:val="0"/>
          <w:sz w:val="24"/>
          <w:szCs w:val="24"/>
        </w:rPr>
        <w:t>岗位变动调薪</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（一</w:t>
      </w:r>
      <w:r>
        <w:rPr>
          <w:rFonts w:ascii="仿宋_GB2312" w:eastAsia="仿宋_GB2312" w:hAnsi="仿宋_GB2312" w:cs="仿宋_GB2312"/>
          <w:color w:val="000000" w:themeColor="text1"/>
          <w:kern w:val="0"/>
          <w:sz w:val="24"/>
          <w:szCs w:val="24"/>
        </w:rPr>
        <w:t>）变动下月起执行新聘岗位工资标准。</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（二</w:t>
      </w:r>
      <w:r>
        <w:rPr>
          <w:rFonts w:ascii="仿宋_GB2312" w:eastAsia="仿宋_GB2312" w:hAnsi="仿宋_GB2312" w:cs="仿宋_GB2312"/>
          <w:color w:val="000000" w:themeColor="text1"/>
          <w:kern w:val="0"/>
          <w:sz w:val="24"/>
          <w:szCs w:val="24"/>
        </w:rPr>
        <w:t>）由低岗位等级聘到高等级，原薪级低于新岗起点薪级的，执行新岗起点薪级工资。第二年不再正常增加薪级工资。</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（三</w:t>
      </w:r>
      <w:r>
        <w:rPr>
          <w:rFonts w:ascii="仿宋_GB2312" w:eastAsia="仿宋_GB2312" w:hAnsi="仿宋_GB2312" w:cs="仿宋_GB2312"/>
          <w:color w:val="000000" w:themeColor="text1"/>
          <w:kern w:val="0"/>
          <w:sz w:val="24"/>
          <w:szCs w:val="24"/>
        </w:rPr>
        <w:t>）原薪级达到新岗起点薪级的，薪级工资不变。</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w:t>
      </w:r>
      <w:r>
        <w:rPr>
          <w:rFonts w:ascii="仿宋_GB2312" w:eastAsia="仿宋_GB2312" w:hAnsi="仿宋_GB2312" w:cs="仿宋_GB2312"/>
          <w:color w:val="000000" w:themeColor="text1"/>
          <w:kern w:val="0"/>
          <w:sz w:val="24"/>
          <w:szCs w:val="24"/>
        </w:rPr>
        <w:t>4）由高岗位等级聘到低等级，薪级工资不变。</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908" w:name="_Toc15727"/>
      <w:bookmarkStart w:id="909" w:name="_Toc7252"/>
      <w:bookmarkStart w:id="910" w:name="_Toc32380"/>
      <w:bookmarkStart w:id="911" w:name="_Toc9698"/>
      <w:bookmarkStart w:id="912" w:name="_Toc4525"/>
      <w:bookmarkStart w:id="913" w:name="_Toc5068"/>
      <w:bookmarkStart w:id="914" w:name="_Toc11937"/>
      <w:bookmarkStart w:id="915" w:name="_Toc30935"/>
      <w:bookmarkStart w:id="916" w:name="_Toc15600"/>
      <w:bookmarkStart w:id="917" w:name="_Toc17708"/>
      <w:bookmarkStart w:id="918" w:name="_Toc5857"/>
      <w:bookmarkStart w:id="919" w:name="_Toc5021"/>
      <w:bookmarkStart w:id="920" w:name="_Toc26342"/>
      <w:bookmarkStart w:id="921" w:name="_Toc519780959"/>
      <w:bookmarkStart w:id="922" w:name="_Toc16869"/>
      <w:bookmarkStart w:id="923" w:name="_Toc13162"/>
      <w:bookmarkStart w:id="924" w:name="_Toc8270"/>
      <w:bookmarkStart w:id="925" w:name="_Toc6340"/>
      <w:bookmarkStart w:id="926" w:name="_Toc26822"/>
      <w:bookmarkStart w:id="927" w:name="_Toc9959"/>
      <w:bookmarkStart w:id="928" w:name="_Toc22478"/>
      <w:bookmarkStart w:id="929" w:name="_Toc12384"/>
      <w:bookmarkStart w:id="930" w:name="_Toc25695"/>
      <w:bookmarkStart w:id="931" w:name="_Toc13768"/>
      <w:bookmarkStart w:id="932" w:name="_Toc24820"/>
      <w:bookmarkStart w:id="933" w:name="_Toc14341"/>
      <w:r>
        <w:rPr>
          <w:rFonts w:ascii="黑体" w:eastAsia="黑体" w:hAnsi="黑体" w:cs="黑体" w:hint="eastAsia"/>
          <w:color w:val="000000" w:themeColor="text1"/>
          <w:sz w:val="28"/>
          <w:szCs w:val="28"/>
        </w:rPr>
        <w:t>4.6.1.3工资发放</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tbl>
      <w:tblPr>
        <w:tblW w:w="8839" w:type="dxa"/>
        <w:jc w:val="center"/>
        <w:tblLayout w:type="fixed"/>
        <w:tblLook w:val="04A0" w:firstRow="1" w:lastRow="0" w:firstColumn="1" w:lastColumn="0" w:noHBand="0" w:noVBand="1"/>
      </w:tblPr>
      <w:tblGrid>
        <w:gridCol w:w="821"/>
        <w:gridCol w:w="2618"/>
        <w:gridCol w:w="5400"/>
      </w:tblGrid>
      <w:tr w:rsidR="00E37845">
        <w:trPr>
          <w:trHeight w:val="461"/>
          <w:jc w:val="center"/>
        </w:trPr>
        <w:tc>
          <w:tcPr>
            <w:tcW w:w="3439" w:type="dxa"/>
            <w:gridSpan w:val="2"/>
            <w:tcBorders>
              <w:top w:val="single" w:sz="4" w:space="0" w:color="auto"/>
              <w:left w:val="single" w:sz="4" w:space="0" w:color="auto"/>
              <w:bottom w:val="single" w:sz="4" w:space="0" w:color="auto"/>
              <w:right w:val="single" w:sz="4" w:space="0" w:color="auto"/>
            </w:tcBorders>
            <w:vAlign w:val="center"/>
          </w:tcPr>
          <w:p w:rsidR="00E37845" w:rsidRDefault="00E22BDD">
            <w:pPr>
              <w:widowControl/>
              <w:adjustRightInd w:val="0"/>
              <w:snapToGrid w:val="0"/>
              <w:spacing w:beforeLines="50" w:before="156" w:line="360" w:lineRule="auto"/>
              <w:ind w:firstLineChars="200" w:firstLine="482"/>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工资结构</w:t>
            </w:r>
          </w:p>
        </w:tc>
        <w:tc>
          <w:tcPr>
            <w:tcW w:w="5400" w:type="dxa"/>
            <w:tcBorders>
              <w:top w:val="single" w:sz="4" w:space="0" w:color="auto"/>
              <w:left w:val="nil"/>
              <w:bottom w:val="single" w:sz="4" w:space="0" w:color="auto"/>
              <w:right w:val="single" w:sz="4" w:space="0" w:color="auto"/>
            </w:tcBorders>
            <w:vAlign w:val="center"/>
          </w:tcPr>
          <w:p w:rsidR="00E37845" w:rsidRDefault="00E22BDD">
            <w:pPr>
              <w:widowControl/>
              <w:adjustRightInd w:val="0"/>
              <w:snapToGrid w:val="0"/>
              <w:spacing w:beforeLines="50" w:before="156" w:line="360" w:lineRule="auto"/>
              <w:ind w:firstLineChars="200" w:firstLine="482"/>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发放形式</w:t>
            </w:r>
          </w:p>
        </w:tc>
      </w:tr>
      <w:tr w:rsidR="00E37845">
        <w:trPr>
          <w:trHeight w:val="461"/>
          <w:jc w:val="center"/>
        </w:trPr>
        <w:tc>
          <w:tcPr>
            <w:tcW w:w="821" w:type="dxa"/>
            <w:vMerge w:val="restart"/>
            <w:tcBorders>
              <w:top w:val="nil"/>
              <w:left w:val="single" w:sz="4" w:space="0" w:color="auto"/>
              <w:bottom w:val="single" w:sz="4" w:space="0" w:color="auto"/>
              <w:right w:val="single" w:sz="4" w:space="0" w:color="auto"/>
            </w:tcBorders>
            <w:textDirection w:val="tbRlV"/>
            <w:vAlign w:val="center"/>
          </w:tcPr>
          <w:p w:rsidR="00E37845" w:rsidRDefault="00E22BDD">
            <w:pPr>
              <w:widowControl/>
              <w:adjustRightInd w:val="0"/>
              <w:snapToGrid w:val="0"/>
              <w:spacing w:beforeLines="50" w:before="156"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基本工资</w:t>
            </w:r>
          </w:p>
        </w:tc>
        <w:tc>
          <w:tcPr>
            <w:tcW w:w="2618" w:type="dxa"/>
            <w:tcBorders>
              <w:top w:val="nil"/>
              <w:left w:val="nil"/>
              <w:bottom w:val="single" w:sz="4" w:space="0" w:color="auto"/>
              <w:right w:val="single" w:sz="4" w:space="0" w:color="auto"/>
            </w:tcBorders>
            <w:vAlign w:val="center"/>
          </w:tcPr>
          <w:p w:rsidR="00E37845" w:rsidRDefault="00E22BDD">
            <w:pPr>
              <w:widowControl/>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岗位工资</w:t>
            </w:r>
          </w:p>
        </w:tc>
        <w:tc>
          <w:tcPr>
            <w:tcW w:w="5400" w:type="dxa"/>
            <w:vMerge w:val="restart"/>
            <w:tcBorders>
              <w:top w:val="nil"/>
              <w:left w:val="single" w:sz="4" w:space="0" w:color="auto"/>
              <w:bottom w:val="single" w:sz="4" w:space="0" w:color="auto"/>
              <w:right w:val="single" w:sz="4" w:space="0" w:color="auto"/>
            </w:tcBorders>
            <w:vAlign w:val="center"/>
          </w:tcPr>
          <w:p w:rsidR="00E37845" w:rsidRDefault="00E22BDD">
            <w:pPr>
              <w:widowControl/>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当月</w:t>
            </w:r>
            <w:r>
              <w:rPr>
                <w:rFonts w:ascii="仿宋_GB2312" w:eastAsia="仿宋_GB2312" w:hAnsi="仿宋_GB2312" w:cs="仿宋_GB2312"/>
                <w:color w:val="000000" w:themeColor="text1"/>
                <w:sz w:val="24"/>
                <w:szCs w:val="24"/>
              </w:rPr>
              <w:t>11号左右存入广州银行个人账户。</w:t>
            </w:r>
          </w:p>
        </w:tc>
      </w:tr>
      <w:tr w:rsidR="00E37845">
        <w:trPr>
          <w:trHeight w:val="756"/>
          <w:jc w:val="center"/>
        </w:trPr>
        <w:tc>
          <w:tcPr>
            <w:tcW w:w="821" w:type="dxa"/>
            <w:vMerge/>
            <w:tcBorders>
              <w:top w:val="nil"/>
              <w:left w:val="single" w:sz="4" w:space="0" w:color="auto"/>
              <w:bottom w:val="single" w:sz="4" w:space="0" w:color="auto"/>
              <w:right w:val="single" w:sz="4" w:space="0" w:color="auto"/>
            </w:tcBorders>
            <w:vAlign w:val="center"/>
          </w:tcPr>
          <w:p w:rsidR="00E37845" w:rsidRDefault="00E37845">
            <w:pPr>
              <w:widowControl/>
              <w:adjustRightInd w:val="0"/>
              <w:snapToGrid w:val="0"/>
              <w:spacing w:beforeLines="50" w:before="156" w:line="360" w:lineRule="auto"/>
              <w:ind w:firstLineChars="200" w:firstLine="480"/>
              <w:jc w:val="center"/>
              <w:outlineLvl w:val="0"/>
              <w:rPr>
                <w:rFonts w:ascii="仿宋_GB2312" w:eastAsia="仿宋_GB2312" w:hAnsi="仿宋_GB2312" w:cs="仿宋_GB2312"/>
                <w:color w:val="000000" w:themeColor="text1"/>
                <w:sz w:val="24"/>
                <w:szCs w:val="24"/>
              </w:rPr>
            </w:pPr>
          </w:p>
        </w:tc>
        <w:tc>
          <w:tcPr>
            <w:tcW w:w="2618" w:type="dxa"/>
            <w:tcBorders>
              <w:top w:val="nil"/>
              <w:left w:val="nil"/>
              <w:bottom w:val="single" w:sz="4" w:space="0" w:color="auto"/>
              <w:right w:val="single" w:sz="4" w:space="0" w:color="auto"/>
            </w:tcBorders>
            <w:vAlign w:val="center"/>
          </w:tcPr>
          <w:p w:rsidR="00E37845" w:rsidRDefault="00E22BDD">
            <w:pPr>
              <w:widowControl/>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薪级工资</w:t>
            </w:r>
          </w:p>
        </w:tc>
        <w:tc>
          <w:tcPr>
            <w:tcW w:w="5400" w:type="dxa"/>
            <w:vMerge/>
            <w:tcBorders>
              <w:top w:val="nil"/>
              <w:left w:val="single" w:sz="4" w:space="0" w:color="auto"/>
              <w:bottom w:val="single" w:sz="4" w:space="0" w:color="auto"/>
              <w:right w:val="single" w:sz="4" w:space="0" w:color="auto"/>
            </w:tcBorders>
            <w:vAlign w:val="center"/>
          </w:tcPr>
          <w:p w:rsidR="00E37845" w:rsidRDefault="00E37845">
            <w:pPr>
              <w:widowControl/>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p>
        </w:tc>
      </w:tr>
      <w:tr w:rsidR="00E37845">
        <w:trPr>
          <w:trHeight w:val="914"/>
          <w:jc w:val="center"/>
        </w:trPr>
        <w:tc>
          <w:tcPr>
            <w:tcW w:w="821" w:type="dxa"/>
            <w:vMerge w:val="restart"/>
            <w:tcBorders>
              <w:top w:val="nil"/>
              <w:left w:val="single" w:sz="4" w:space="0" w:color="auto"/>
              <w:right w:val="single" w:sz="4" w:space="0" w:color="auto"/>
            </w:tcBorders>
            <w:textDirection w:val="tbRlV"/>
            <w:vAlign w:val="center"/>
          </w:tcPr>
          <w:p w:rsidR="00E37845" w:rsidRDefault="00E22BDD">
            <w:pPr>
              <w:widowControl/>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绩效工资</w:t>
            </w:r>
          </w:p>
        </w:tc>
        <w:tc>
          <w:tcPr>
            <w:tcW w:w="2618" w:type="dxa"/>
            <w:tcBorders>
              <w:top w:val="nil"/>
              <w:left w:val="nil"/>
              <w:bottom w:val="single" w:sz="4" w:space="0" w:color="auto"/>
              <w:right w:val="single" w:sz="4" w:space="0" w:color="auto"/>
            </w:tcBorders>
            <w:vAlign w:val="center"/>
          </w:tcPr>
          <w:p w:rsidR="00E37845" w:rsidRDefault="00E22BDD">
            <w:pPr>
              <w:widowControl/>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基础性绩效工资</w:t>
            </w:r>
          </w:p>
        </w:tc>
        <w:tc>
          <w:tcPr>
            <w:tcW w:w="5400" w:type="dxa"/>
            <w:vMerge w:val="restart"/>
            <w:tcBorders>
              <w:top w:val="nil"/>
              <w:left w:val="single" w:sz="4" w:space="0" w:color="auto"/>
              <w:right w:val="single" w:sz="4" w:space="0" w:color="auto"/>
            </w:tcBorders>
            <w:vAlign w:val="center"/>
          </w:tcPr>
          <w:p w:rsidR="00E37845" w:rsidRDefault="00E22BDD">
            <w:pPr>
              <w:widowControl/>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当月</w:t>
            </w:r>
            <w:r>
              <w:rPr>
                <w:rFonts w:ascii="仿宋_GB2312" w:eastAsia="仿宋_GB2312" w:hAnsi="仿宋_GB2312" w:cs="仿宋_GB2312"/>
                <w:color w:val="000000" w:themeColor="text1"/>
                <w:sz w:val="24"/>
                <w:szCs w:val="24"/>
              </w:rPr>
              <w:t>10日左右存入中国工商银行个人账户；其中，奖励性绩效工资由部门自主决定发放。</w:t>
            </w:r>
          </w:p>
        </w:tc>
      </w:tr>
      <w:tr w:rsidR="00E37845">
        <w:trPr>
          <w:trHeight w:val="914"/>
          <w:jc w:val="center"/>
        </w:trPr>
        <w:tc>
          <w:tcPr>
            <w:tcW w:w="821" w:type="dxa"/>
            <w:vMerge/>
            <w:tcBorders>
              <w:left w:val="single" w:sz="4" w:space="0" w:color="auto"/>
              <w:bottom w:val="single" w:sz="4" w:space="0" w:color="auto"/>
              <w:right w:val="single" w:sz="4" w:space="0" w:color="auto"/>
            </w:tcBorders>
            <w:vAlign w:val="center"/>
          </w:tcPr>
          <w:p w:rsidR="00E37845" w:rsidRDefault="00E37845">
            <w:pPr>
              <w:widowControl/>
              <w:adjustRightInd w:val="0"/>
              <w:snapToGrid w:val="0"/>
              <w:spacing w:beforeLines="50" w:before="156" w:line="360" w:lineRule="auto"/>
              <w:ind w:firstLineChars="200" w:firstLine="480"/>
              <w:jc w:val="center"/>
              <w:outlineLvl w:val="0"/>
              <w:rPr>
                <w:rFonts w:ascii="仿宋_GB2312" w:eastAsia="仿宋_GB2312" w:hAnsi="仿宋_GB2312" w:cs="仿宋_GB2312"/>
                <w:color w:val="000000" w:themeColor="text1"/>
                <w:sz w:val="24"/>
                <w:szCs w:val="24"/>
              </w:rPr>
            </w:pPr>
          </w:p>
        </w:tc>
        <w:tc>
          <w:tcPr>
            <w:tcW w:w="2618" w:type="dxa"/>
            <w:tcBorders>
              <w:top w:val="nil"/>
              <w:left w:val="nil"/>
              <w:bottom w:val="single" w:sz="4" w:space="0" w:color="auto"/>
              <w:right w:val="single" w:sz="4" w:space="0" w:color="auto"/>
            </w:tcBorders>
            <w:vAlign w:val="center"/>
          </w:tcPr>
          <w:p w:rsidR="00E37845" w:rsidRDefault="00E22BDD">
            <w:pPr>
              <w:widowControl/>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奖励性绩效工资</w:t>
            </w:r>
          </w:p>
        </w:tc>
        <w:tc>
          <w:tcPr>
            <w:tcW w:w="5400" w:type="dxa"/>
            <w:vMerge/>
            <w:tcBorders>
              <w:left w:val="single" w:sz="4" w:space="0" w:color="auto"/>
              <w:bottom w:val="single" w:sz="4" w:space="0" w:color="auto"/>
              <w:right w:val="single" w:sz="4" w:space="0" w:color="auto"/>
            </w:tcBorders>
            <w:vAlign w:val="center"/>
          </w:tcPr>
          <w:p w:rsidR="00E37845" w:rsidRDefault="00E37845">
            <w:pPr>
              <w:widowControl/>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p>
        </w:tc>
      </w:tr>
      <w:tr w:rsidR="00E37845">
        <w:trPr>
          <w:trHeight w:val="461"/>
          <w:jc w:val="center"/>
        </w:trPr>
        <w:tc>
          <w:tcPr>
            <w:tcW w:w="3439" w:type="dxa"/>
            <w:gridSpan w:val="2"/>
            <w:tcBorders>
              <w:left w:val="single" w:sz="4" w:space="0" w:color="auto"/>
              <w:bottom w:val="single" w:sz="4" w:space="0" w:color="auto"/>
              <w:right w:val="single" w:sz="4" w:space="0" w:color="auto"/>
            </w:tcBorders>
            <w:vAlign w:val="center"/>
          </w:tcPr>
          <w:p w:rsidR="00E37845" w:rsidRDefault="00E22BDD">
            <w:pPr>
              <w:widowControl/>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住房改革补贴</w:t>
            </w:r>
          </w:p>
        </w:tc>
        <w:tc>
          <w:tcPr>
            <w:tcW w:w="5400" w:type="dxa"/>
            <w:tcBorders>
              <w:left w:val="single" w:sz="4" w:space="0" w:color="auto"/>
              <w:bottom w:val="single" w:sz="4" w:space="0" w:color="auto"/>
              <w:right w:val="single" w:sz="4" w:space="0" w:color="auto"/>
            </w:tcBorders>
            <w:vAlign w:val="center"/>
          </w:tcPr>
          <w:p w:rsidR="00E37845" w:rsidRDefault="00E22BDD">
            <w:pPr>
              <w:widowControl/>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当月</w:t>
            </w:r>
            <w:r>
              <w:rPr>
                <w:rFonts w:ascii="仿宋_GB2312" w:eastAsia="仿宋_GB2312" w:hAnsi="仿宋_GB2312" w:cs="仿宋_GB2312"/>
                <w:color w:val="000000" w:themeColor="text1"/>
                <w:sz w:val="24"/>
                <w:szCs w:val="24"/>
              </w:rPr>
              <w:t>10日左右存入中国工商银行个人账户。</w:t>
            </w:r>
          </w:p>
        </w:tc>
      </w:tr>
      <w:tr w:rsidR="00E37845">
        <w:trPr>
          <w:trHeight w:val="471"/>
          <w:jc w:val="center"/>
        </w:trPr>
        <w:tc>
          <w:tcPr>
            <w:tcW w:w="3439" w:type="dxa"/>
            <w:gridSpan w:val="2"/>
            <w:tcBorders>
              <w:top w:val="single" w:sz="4" w:space="0" w:color="auto"/>
              <w:left w:val="single" w:sz="4" w:space="0" w:color="auto"/>
              <w:bottom w:val="single" w:sz="4" w:space="0" w:color="auto"/>
              <w:right w:val="single" w:sz="4" w:space="0" w:color="auto"/>
            </w:tcBorders>
            <w:vAlign w:val="center"/>
          </w:tcPr>
          <w:p w:rsidR="00E37845" w:rsidRDefault="00E22BDD">
            <w:pPr>
              <w:widowControl/>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住房公积金</w:t>
            </w:r>
          </w:p>
        </w:tc>
        <w:tc>
          <w:tcPr>
            <w:tcW w:w="5400" w:type="dxa"/>
            <w:tcBorders>
              <w:top w:val="nil"/>
              <w:left w:val="nil"/>
              <w:bottom w:val="single" w:sz="4" w:space="0" w:color="auto"/>
              <w:right w:val="single" w:sz="4" w:space="0" w:color="auto"/>
            </w:tcBorders>
            <w:vAlign w:val="center"/>
          </w:tcPr>
          <w:p w:rsidR="00E37845" w:rsidRDefault="00E22BDD">
            <w:pPr>
              <w:widowControl/>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当月</w:t>
            </w:r>
            <w:r>
              <w:rPr>
                <w:rFonts w:ascii="仿宋_GB2312" w:eastAsia="仿宋_GB2312" w:hAnsi="仿宋_GB2312" w:cs="仿宋_GB2312"/>
                <w:color w:val="000000" w:themeColor="text1"/>
                <w:sz w:val="24"/>
                <w:szCs w:val="24"/>
              </w:rPr>
              <w:t>15日前存入个人住房公积金账户。</w:t>
            </w:r>
          </w:p>
        </w:tc>
      </w:tr>
    </w:tbl>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备注：</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上述工资发放时间为正常情况下的发放时间，如遇节假日，发放时间顺延。由于学校工资由银行代发，如遇银行转账异常，发放时间可能发生变化，以银行实际转账时间为准。</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新入教职工的基本工资办理流程：人事管理科收集材料→办理聘用手续→薪酬管理科汇总、报送→市人社局统发办→市财政局→广州银行→财务处→教职工。由于经办主管部门较多，办理周期一般在半年左右，最后待银行制卡后，会</w:t>
      </w:r>
      <w:r>
        <w:rPr>
          <w:rFonts w:ascii="仿宋_GB2312" w:eastAsia="仿宋_GB2312" w:hAnsi="仿宋_GB2312" w:cs="仿宋_GB2312"/>
          <w:color w:val="000000" w:themeColor="text1"/>
          <w:sz w:val="24"/>
          <w:szCs w:val="24"/>
        </w:rPr>
        <w:lastRenderedPageBreak/>
        <w:t>转至我校财务处，由财务处发OA通知各位教职工领取。基本工资发放的次月，一次性补发入职至工资发放月的基本工资。</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3</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公积金：学校、个人各按公积金基数的12%统一缴存，一般在校内工资发放当月进行正常缴存。入职至公积金正常缴存月的公积金补缴只缴存学校部分，个人部分不再补缴。原有公积金账户的，需转入的可回原单位办理公积金转移手续。学校住房公积金登记资料如下：</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户名：广州住房公积金管理中心；开户行：广州银行营业管理部</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账户：</w:t>
      </w:r>
      <w:r>
        <w:rPr>
          <w:rFonts w:ascii="仿宋_GB2312" w:eastAsia="仿宋_GB2312" w:hAnsi="仿宋_GB2312" w:cs="仿宋_GB2312"/>
          <w:color w:val="000000" w:themeColor="text1"/>
          <w:sz w:val="24"/>
          <w:szCs w:val="24"/>
        </w:rPr>
        <w:t>328 800 133 965；</w:t>
      </w:r>
      <w:r>
        <w:rPr>
          <w:rFonts w:ascii="仿宋_GB2312" w:eastAsia="仿宋_GB2312" w:hAnsi="仿宋_GB2312" w:cs="仿宋_GB2312" w:hint="eastAsia"/>
          <w:color w:val="000000" w:themeColor="text1"/>
          <w:sz w:val="24"/>
          <w:szCs w:val="24"/>
        </w:rPr>
        <w:t>单位名称：广州大学；单位登记号：</w:t>
      </w:r>
      <w:r>
        <w:rPr>
          <w:rFonts w:ascii="仿宋_GB2312" w:eastAsia="仿宋_GB2312" w:hAnsi="仿宋_GB2312" w:cs="仿宋_GB2312"/>
          <w:color w:val="000000" w:themeColor="text1"/>
          <w:sz w:val="24"/>
          <w:szCs w:val="24"/>
        </w:rPr>
        <w:t>005283</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4</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住房改革补贴：新入教职工需到后勤服务处办理申请手续，待审批后，按月在校内工资发放。（具体政策请咨询后勤服务处39366185</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5</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广州银行和中国工商银行的相关信息如下：</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1）广州银行：</w:t>
      </w:r>
      <w:r>
        <w:rPr>
          <w:rFonts w:ascii="Times New Roman" w:eastAsia="仿宋_GB2312" w:hAnsi="Times New Roman"/>
          <w:color w:val="000000" w:themeColor="text1"/>
          <w:sz w:val="24"/>
          <w:szCs w:val="24"/>
        </w:rPr>
        <w:t>http://www.gzcb.com.cn/</w:t>
      </w:r>
      <w:r>
        <w:rPr>
          <w:rFonts w:ascii="仿宋_GB2312" w:eastAsia="仿宋_GB2312" w:hAnsi="仿宋_GB2312" w:cs="仿宋_GB2312" w:hint="eastAsia"/>
          <w:color w:val="000000" w:themeColor="text1"/>
          <w:sz w:val="24"/>
          <w:szCs w:val="24"/>
        </w:rPr>
        <w:t>客户服务热线：</w:t>
      </w:r>
      <w:r>
        <w:rPr>
          <w:rFonts w:ascii="仿宋_GB2312" w:eastAsia="仿宋_GB2312" w:hAnsi="仿宋_GB2312" w:cs="仿宋_GB2312"/>
          <w:color w:val="000000" w:themeColor="text1"/>
          <w:sz w:val="24"/>
          <w:szCs w:val="24"/>
        </w:rPr>
        <w:t>96699</w:t>
      </w:r>
    </w:p>
    <w:p w:rsidR="00E37845" w:rsidRDefault="00E22BDD">
      <w:pPr>
        <w:adjustRightInd w:val="0"/>
        <w:snapToGrid w:val="0"/>
        <w:spacing w:line="360" w:lineRule="auto"/>
        <w:ind w:firstLineChars="447" w:firstLine="1073"/>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开户行：广州银行营业管理部</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2）中国工商银行</w:t>
      </w:r>
      <w:bookmarkStart w:id="934" w:name="_Hlt137975366"/>
      <w:bookmarkStart w:id="935" w:name="_Hlt137975365"/>
      <w:r>
        <w:rPr>
          <w:rFonts w:ascii="仿宋_GB2312" w:eastAsia="仿宋_GB2312" w:hAnsi="仿宋_GB2312" w:cs="仿宋_GB2312" w:hint="eastAsia"/>
          <w:color w:val="000000" w:themeColor="text1"/>
          <w:sz w:val="24"/>
          <w:szCs w:val="24"/>
        </w:rPr>
        <w:t>：</w:t>
      </w:r>
      <w:hyperlink r:id="rId18" w:history="1">
        <w:r>
          <w:rPr>
            <w:rFonts w:ascii="Times New Roman" w:eastAsia="仿宋_GB2312" w:hAnsi="Times New Roman"/>
            <w:color w:val="000000" w:themeColor="text1"/>
            <w:sz w:val="24"/>
            <w:szCs w:val="24"/>
          </w:rPr>
          <w:t>http://www.i</w:t>
        </w:r>
        <w:bookmarkStart w:id="936" w:name="_Hlt137975268"/>
        <w:bookmarkStart w:id="937" w:name="_Hlt137975267"/>
        <w:r>
          <w:rPr>
            <w:rFonts w:ascii="Times New Roman" w:eastAsia="仿宋_GB2312" w:hAnsi="Times New Roman"/>
            <w:color w:val="000000" w:themeColor="text1"/>
            <w:sz w:val="24"/>
            <w:szCs w:val="24"/>
          </w:rPr>
          <w:t>c</w:t>
        </w:r>
        <w:bookmarkEnd w:id="936"/>
        <w:bookmarkEnd w:id="937"/>
        <w:r>
          <w:rPr>
            <w:rFonts w:ascii="Times New Roman" w:eastAsia="仿宋_GB2312" w:hAnsi="Times New Roman"/>
            <w:color w:val="000000" w:themeColor="text1"/>
            <w:sz w:val="24"/>
            <w:szCs w:val="24"/>
          </w:rPr>
          <w:t>bc</w:t>
        </w:r>
        <w:bookmarkStart w:id="938" w:name="_Hlt137975195"/>
        <w:bookmarkStart w:id="939" w:name="_Hlt137975196"/>
        <w:r>
          <w:rPr>
            <w:rFonts w:ascii="Times New Roman" w:eastAsia="仿宋_GB2312" w:hAnsi="Times New Roman"/>
            <w:color w:val="000000" w:themeColor="text1"/>
            <w:sz w:val="24"/>
            <w:szCs w:val="24"/>
          </w:rPr>
          <w:t>.</w:t>
        </w:r>
        <w:bookmarkEnd w:id="938"/>
        <w:bookmarkEnd w:id="939"/>
        <w:r>
          <w:rPr>
            <w:rFonts w:ascii="Times New Roman" w:eastAsia="仿宋_GB2312" w:hAnsi="Times New Roman"/>
            <w:color w:val="000000" w:themeColor="text1"/>
            <w:sz w:val="24"/>
            <w:szCs w:val="24"/>
          </w:rPr>
          <w:t>com.cn/</w:t>
        </w:r>
      </w:hyperlink>
      <w:bookmarkEnd w:id="934"/>
      <w:bookmarkEnd w:id="935"/>
      <w:r>
        <w:rPr>
          <w:rFonts w:ascii="仿宋_GB2312" w:eastAsia="仿宋_GB2312" w:hAnsi="仿宋_GB2312" w:cs="仿宋_GB2312"/>
          <w:color w:val="000000" w:themeColor="text1"/>
          <w:sz w:val="24"/>
          <w:szCs w:val="24"/>
        </w:rPr>
        <w:t xml:space="preserve">  客户服务热线：95588</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工资查询与释疑：教职工如对自己的工资发放情况有疑问，可上广州大学</w:t>
      </w:r>
      <w:r>
        <w:rPr>
          <w:rFonts w:ascii="仿宋_GB2312" w:eastAsia="仿宋_GB2312" w:hAnsi="仿宋_GB2312" w:cs="仿宋_GB2312"/>
          <w:color w:val="000000" w:themeColor="text1"/>
          <w:sz w:val="24"/>
          <w:szCs w:val="24"/>
        </w:rPr>
        <w:t>OA系统进行查询：广州大学主页右边点击“数字广大”，登录到统一身份认证平台，成功登录后，点击“工资信息”即可查询工资明细；也可到人事处薪酬管理科查询，电话：39366212。</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940" w:name="_Toc10319"/>
      <w:bookmarkStart w:id="941" w:name="_Toc32178"/>
      <w:bookmarkStart w:id="942" w:name="_Toc19473"/>
      <w:bookmarkStart w:id="943" w:name="_Toc13387"/>
      <w:bookmarkStart w:id="944" w:name="_Toc21893"/>
      <w:bookmarkStart w:id="945" w:name="_Toc4595"/>
      <w:bookmarkStart w:id="946" w:name="_Toc22700"/>
      <w:bookmarkStart w:id="947" w:name="_Toc18213"/>
      <w:bookmarkStart w:id="948" w:name="_Toc10467"/>
      <w:bookmarkStart w:id="949" w:name="_Toc519780960"/>
      <w:bookmarkStart w:id="950" w:name="_Toc28839"/>
      <w:bookmarkStart w:id="951" w:name="_Toc19015"/>
      <w:bookmarkStart w:id="952" w:name="_Toc8363"/>
      <w:bookmarkStart w:id="953" w:name="_Toc30242"/>
      <w:bookmarkStart w:id="954" w:name="_Toc13383"/>
      <w:bookmarkStart w:id="955" w:name="_Toc18129"/>
      <w:bookmarkStart w:id="956" w:name="_Toc27988"/>
      <w:bookmarkStart w:id="957" w:name="_Toc21118"/>
      <w:bookmarkStart w:id="958" w:name="_Toc2052"/>
      <w:bookmarkStart w:id="959" w:name="_Toc18657"/>
      <w:bookmarkStart w:id="960" w:name="_Toc11327"/>
      <w:bookmarkStart w:id="961" w:name="_Toc22721"/>
      <w:bookmarkStart w:id="962" w:name="_Toc8042"/>
      <w:bookmarkStart w:id="963" w:name="_Toc24916"/>
      <w:bookmarkStart w:id="964" w:name="_Toc31770"/>
      <w:bookmarkStart w:id="965" w:name="_Toc6445"/>
      <w:r>
        <w:rPr>
          <w:rFonts w:ascii="黑体" w:eastAsia="黑体" w:hAnsi="黑体" w:cs="黑体" w:hint="eastAsia"/>
          <w:color w:val="000000" w:themeColor="text1"/>
          <w:sz w:val="28"/>
          <w:szCs w:val="28"/>
        </w:rPr>
        <w:t>4.6.2社会保险</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社会保险包括：养老保险、失业保险、工伤保险、医疗保险、生育保险。目前，结合学校实际，为我校教职工办理社保。</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在编教职工（干部）办理社保缴费项目：失业保险、工伤保险，失业保险单位和个人按一定比例缴费，工伤保险由单位缴费，个人不缴费。</w:t>
      </w:r>
      <w:r>
        <w:rPr>
          <w:rFonts w:ascii="仿宋_GB2312" w:eastAsia="仿宋_GB2312" w:hAnsi="仿宋_GB2312" w:cs="仿宋_GB2312" w:hint="eastAsia"/>
          <w:color w:val="000000" w:themeColor="text1"/>
          <w:sz w:val="24"/>
          <w:szCs w:val="24"/>
        </w:rPr>
        <w:t>养老保险待上级明确后另行办理。</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在编教职工（合同工聘干、合同工人）办理社保缴费项目：养老保险、失业保险、工伤保险、生育保险，养老保险、失业保险单位和个人按一定比例缴费，工伤保险、生育保险由单位缴费，个人不缴费。</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按照相关社保规定，社保缴费基数为上年度申报个人所得税工资、薪金税项月平均数。</w:t>
      </w:r>
    </w:p>
    <w:p w:rsidR="00E37845" w:rsidRDefault="00E22BDD">
      <w:pPr>
        <w:widowControl/>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lastRenderedPageBreak/>
        <w:br w:type="page"/>
      </w:r>
    </w:p>
    <w:p w:rsidR="00E37845" w:rsidRDefault="001B499F">
      <w:pPr>
        <w:adjustRightInd w:val="0"/>
        <w:snapToGrid w:val="0"/>
        <w:spacing w:line="360" w:lineRule="auto"/>
        <w:ind w:firstLineChars="200" w:firstLine="482"/>
        <w:rPr>
          <w:rFonts w:ascii="仿宋_GB2312" w:eastAsia="仿宋_GB2312" w:hAnsi="仿宋_GB2312" w:cs="仿宋_GB2312"/>
          <w:color w:val="000000" w:themeColor="text1"/>
          <w:sz w:val="24"/>
          <w:szCs w:val="24"/>
        </w:rPr>
      </w:pPr>
      <w:r>
        <w:rPr>
          <w:rFonts w:ascii="仿宋_GB2312" w:eastAsia="仿宋_GB2312" w:hAnsi="仿宋_GB2312" w:cs="仿宋_GB2312"/>
          <w:b/>
          <w:bCs/>
          <w:color w:val="000000" w:themeColor="text1"/>
          <w:sz w:val="24"/>
          <w:szCs w:val="24"/>
        </w:rPr>
        <w:lastRenderedPageBreak/>
        <w:pict>
          <v:shape id="_x0000_s1039" type="#_x0000_t202" style="position:absolute;left:0;text-align:left;margin-left:342pt;margin-top:21.8pt;width:78.3pt;height:78pt;z-index:251661824;mso-width-relative:page;mso-height-relative:page" o:gfxdata="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nTwNcAAAAKAQAADwAAAAAAAAABACAAAAAiAAAAZHJzL2Rvd25yZXYueG1s&#10;UEsBAhQAFAAAAAgAh07iQDhNhJQyAgAAUwQAAA4AAAAAAAAAAQAgAAAAJgEAAGRycy9lMm9Eb2Mu&#10;eG1sUEsFBgAAAAAGAAYAWQEAAMoFAAAAAA==&#10;">
            <v:textbox>
              <w:txbxContent>
                <w:p w:rsidR="00E37845" w:rsidRDefault="00E22BDD">
                  <w:pPr>
                    <w:pStyle w:val="30"/>
                    <w:spacing w:line="300" w:lineRule="exact"/>
                    <w:jc w:val="center"/>
                    <w:rPr>
                      <w:rFonts w:ascii="仿宋_GB2312" w:eastAsia="仿宋_GB2312"/>
                      <w:sz w:val="21"/>
                      <w:szCs w:val="21"/>
                    </w:rPr>
                  </w:pPr>
                  <w:r>
                    <w:rPr>
                      <w:rFonts w:ascii="仿宋_GB2312" w:eastAsia="仿宋_GB2312" w:hint="eastAsia"/>
                      <w:sz w:val="21"/>
                      <w:szCs w:val="21"/>
                    </w:rPr>
                    <w:t>工伤待遇报销</w:t>
                  </w:r>
                </w:p>
                <w:p w:rsidR="00E37845" w:rsidRDefault="00E22BDD">
                  <w:pPr>
                    <w:pStyle w:val="30"/>
                    <w:spacing w:line="300" w:lineRule="exact"/>
                    <w:jc w:val="center"/>
                    <w:rPr>
                      <w:rFonts w:ascii="仿宋_GB2312" w:eastAsia="仿宋_GB2312"/>
                      <w:sz w:val="21"/>
                      <w:szCs w:val="21"/>
                    </w:rPr>
                  </w:pPr>
                  <w:r>
                    <w:rPr>
                      <w:rFonts w:ascii="仿宋_GB2312" w:eastAsia="仿宋_GB2312" w:hint="eastAsia"/>
                      <w:sz w:val="21"/>
                      <w:szCs w:val="21"/>
                    </w:rPr>
                    <w:t>（白云区社保基金中心和市医保局）</w:t>
                  </w:r>
                </w:p>
              </w:txbxContent>
            </v:textbox>
          </v:shape>
        </w:pict>
      </w:r>
      <w:r w:rsidR="00E22BDD">
        <w:rPr>
          <w:rFonts w:ascii="仿宋_GB2312" w:eastAsia="仿宋_GB2312" w:hAnsi="仿宋_GB2312" w:cs="仿宋_GB2312" w:hint="eastAsia"/>
          <w:b/>
          <w:bCs/>
          <w:color w:val="000000" w:themeColor="text1"/>
          <w:sz w:val="24"/>
          <w:szCs w:val="24"/>
        </w:rPr>
        <w:t>工伤认定流程如下</w:t>
      </w:r>
      <w:r w:rsidR="00E22BDD">
        <w:rPr>
          <w:rFonts w:ascii="仿宋_GB2312" w:eastAsia="仿宋_GB2312" w:hAnsi="仿宋_GB2312" w:cs="仿宋_GB2312" w:hint="eastAsia"/>
          <w:color w:val="000000" w:themeColor="text1"/>
          <w:sz w:val="24"/>
          <w:szCs w:val="24"/>
        </w:rPr>
        <w:t>：</w:t>
      </w:r>
    </w:p>
    <w:p w:rsidR="00E37845" w:rsidRDefault="001B499F">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pict>
          <v:shape id="_x0000_s1040" type="#_x0000_t202" style="position:absolute;left:0;text-align:left;margin-left:238.45pt;margin-top:7.05pt;width:75.3pt;height:43.15pt;z-index:251660800;mso-width-relative:page;mso-height-relative:page" o:gfxdata="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ypZFDZAAAACgEAAA8AAAAAAAAAAQAgAAAAIgAAAGRycy9kb3ducmV2&#10;LnhtbFBLAQIUABQAAAAIAIdO4kA3w6sWNAIAAFMEAAAOAAAAAAAAAAEAIAAAACgBAABkcnMvZTJv&#10;RG9jLnhtbFBLBQYAAAAABgAGAFkBAADOBQAAAAA=&#10;">
            <v:textbox>
              <w:txbxContent>
                <w:p w:rsidR="00E37845" w:rsidRDefault="00E22BDD">
                  <w:pPr>
                    <w:pStyle w:val="30"/>
                    <w:jc w:val="center"/>
                    <w:rPr>
                      <w:rFonts w:ascii="仿宋_GB2312" w:eastAsia="仿宋_GB2312"/>
                      <w:sz w:val="21"/>
                      <w:szCs w:val="21"/>
                    </w:rPr>
                  </w:pPr>
                  <w:r>
                    <w:rPr>
                      <w:rFonts w:ascii="仿宋_GB2312" w:eastAsia="仿宋_GB2312" w:hint="eastAsia"/>
                      <w:sz w:val="21"/>
                      <w:szCs w:val="21"/>
                    </w:rPr>
                    <w:t>工伤评残</w:t>
                  </w:r>
                </w:p>
                <w:p w:rsidR="00E37845" w:rsidRDefault="00E22BDD">
                  <w:pPr>
                    <w:pStyle w:val="30"/>
                    <w:jc w:val="center"/>
                    <w:rPr>
                      <w:rFonts w:ascii="仿宋_GB2312" w:eastAsia="仿宋_GB2312"/>
                      <w:sz w:val="21"/>
                      <w:szCs w:val="21"/>
                    </w:rPr>
                  </w:pPr>
                  <w:r>
                    <w:rPr>
                      <w:rFonts w:ascii="仿宋_GB2312" w:eastAsia="仿宋_GB2312" w:hint="eastAsia"/>
                      <w:sz w:val="21"/>
                      <w:szCs w:val="21"/>
                    </w:rPr>
                    <w:t>（市劳鉴委）</w:t>
                  </w:r>
                </w:p>
              </w:txbxContent>
            </v:textbox>
          </v:shape>
        </w:pict>
      </w:r>
      <w:r>
        <w:rPr>
          <w:rFonts w:ascii="仿宋_GB2312" w:eastAsia="仿宋_GB2312" w:hAnsi="仿宋_GB2312" w:cs="仿宋_GB2312"/>
          <w:color w:val="000000" w:themeColor="text1"/>
          <w:sz w:val="24"/>
          <w:szCs w:val="24"/>
        </w:rPr>
        <w:pict>
          <v:shape id="_x0000_s1041" type="#_x0000_t202" style="position:absolute;left:0;text-align:left;margin-left:126pt;margin-top:4.8pt;width:87.85pt;height:51pt;z-index:251659776;mso-width-relative:page;mso-height-relative:page" o:gfxdata="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R86pdkAAAAJAQAADwAAAAAAAAABACAAAAAiAAAAZHJzL2Rvd25yZXYu&#10;eG1sUEsBAhQAFAAAAAgAh07iQBks6vozAgAAVAQAAA4AAAAAAAAAAQAgAAAAKAEAAGRycy9lMm9E&#10;b2MueG1sUEsFBgAAAAAGAAYAWQEAAM0FAAAAAA==&#10;">
            <v:textbox>
              <w:txbxContent>
                <w:p w:rsidR="00E37845" w:rsidRDefault="00E22BDD">
                  <w:pPr>
                    <w:pStyle w:val="21"/>
                    <w:spacing w:line="280" w:lineRule="exact"/>
                    <w:jc w:val="center"/>
                    <w:rPr>
                      <w:rFonts w:ascii="仿宋_GB2312" w:eastAsia="仿宋_GB2312"/>
                      <w:szCs w:val="21"/>
                    </w:rPr>
                  </w:pPr>
                  <w:r>
                    <w:rPr>
                      <w:rFonts w:ascii="仿宋_GB2312" w:eastAsia="仿宋_GB2312" w:hint="eastAsia"/>
                      <w:szCs w:val="21"/>
                    </w:rPr>
                    <w:t>工伤认定（白云区人力资源与社会保障局）</w:t>
                  </w:r>
                </w:p>
                <w:p w:rsidR="00E37845" w:rsidRDefault="00E37845">
                  <w:pPr>
                    <w:pStyle w:val="21"/>
                    <w:spacing w:line="240" w:lineRule="auto"/>
                    <w:jc w:val="center"/>
                    <w:rPr>
                      <w:rFonts w:ascii="仿宋_GB2312" w:eastAsia="仿宋_GB2312"/>
                      <w:color w:val="FF0000"/>
                      <w:szCs w:val="21"/>
                    </w:rPr>
                  </w:pPr>
                </w:p>
              </w:txbxContent>
            </v:textbox>
          </v:shape>
        </w:pict>
      </w:r>
      <w:r>
        <w:rPr>
          <w:rFonts w:ascii="仿宋_GB2312" w:eastAsia="仿宋_GB2312" w:hAnsi="仿宋_GB2312" w:cs="仿宋_GB2312"/>
          <w:color w:val="000000" w:themeColor="text1"/>
          <w:sz w:val="24"/>
          <w:szCs w:val="24"/>
        </w:rPr>
        <w:pict>
          <v:shape id="_x0000_s1042" type="#_x0000_t202" style="position:absolute;left:0;text-align:left;margin-left:9pt;margin-top:7.8pt;width:87.85pt;height:44.65pt;z-index:251658752;mso-width-relative:page;mso-height-relative:page" o:gfxdata="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9LoNbYAAAACQEAAA8AAAAAAAAAAQAgAAAAIgAAAGRycy9kb3ducmV2Lnht&#10;bFBLAQIUABQAAAAIAIdO4kDGUP/0MgIAAFQEAAAOAAAAAAAAAAEAIAAAACcBAABkcnMvZTJvRG9j&#10;LnhtbFBLBQYAAAAABgAGAFkBAADLBQAAAAA=&#10;">
            <v:textbox>
              <w:txbxContent>
                <w:p w:rsidR="00E37845" w:rsidRDefault="00E22BDD">
                  <w:pPr>
                    <w:pStyle w:val="21"/>
                    <w:spacing w:line="240" w:lineRule="auto"/>
                    <w:jc w:val="center"/>
                    <w:rPr>
                      <w:rFonts w:ascii="仿宋_GB2312" w:eastAsia="仿宋_GB2312"/>
                    </w:rPr>
                  </w:pPr>
                  <w:r>
                    <w:rPr>
                      <w:rFonts w:ascii="仿宋_GB2312" w:eastAsia="仿宋_GB2312" w:hint="eastAsia"/>
                    </w:rPr>
                    <w:t>工伤事故</w:t>
                  </w:r>
                </w:p>
                <w:p w:rsidR="00E37845" w:rsidRDefault="00E22BDD">
                  <w:pPr>
                    <w:pStyle w:val="21"/>
                    <w:spacing w:line="240" w:lineRule="auto"/>
                    <w:jc w:val="center"/>
                    <w:rPr>
                      <w:rFonts w:ascii="仿宋_GB2312" w:eastAsia="仿宋_GB2312"/>
                    </w:rPr>
                  </w:pPr>
                  <w:r>
                    <w:rPr>
                      <w:rFonts w:ascii="仿宋_GB2312" w:eastAsia="仿宋_GB2312" w:hint="eastAsia"/>
                    </w:rPr>
                    <w:t>（单位）</w:t>
                  </w:r>
                </w:p>
              </w:txbxContent>
            </v:textbox>
          </v:shape>
        </w:pict>
      </w:r>
    </w:p>
    <w:p w:rsidR="00E37845" w:rsidRDefault="001B499F">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pict>
          <v:line id="_x0000_s1043" style="position:absolute;left:0;text-align:left;z-index:251662848;mso-width-relative:page;mso-height-relative:page" from="100.4pt,2.9pt" to="125.5pt,2.9pt" o:gfxdata="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eH0tLWAAAABwEAAA8AAAAAAAAAAQAgAAAAIgAAAGRycy9kb3ducmV2LnhtbFBLAQIUABQAAAAI&#10;AIdO4kDjeDIy7wEAAKQDAAAOAAAAAAAAAAEAIAAAACUBAABkcnMvZTJvRG9jLnhtbFBLBQYAAAAA&#10;BgAGAFkBAACGBQAAAAA=&#10;">
            <v:stroke endarrow="block"/>
          </v:line>
        </w:pict>
      </w:r>
      <w:r>
        <w:rPr>
          <w:rFonts w:ascii="仿宋_GB2312" w:eastAsia="仿宋_GB2312" w:hAnsi="仿宋_GB2312" w:cs="仿宋_GB2312"/>
          <w:color w:val="000000" w:themeColor="text1"/>
          <w:sz w:val="24"/>
          <w:szCs w:val="24"/>
        </w:rPr>
        <w:pict>
          <v:line id="_x0000_s1044" style="position:absolute;left:0;text-align:left;z-index:251663872;mso-width-relative:page;mso-height-relative:page" from="213.35pt,2.9pt" to="238.45pt,2.9pt" o:gfxdata="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3szmtgAAAAHAQAADwAAAAAAAAABACAAAAAiAAAAZHJzL2Rvd25yZXYueG1sUEsBAhQAFAAA&#10;AAgAh07iQOliTSfvAQAApAMAAA4AAAAAAAAAAQAgAAAAJwEAAGRycy9lMm9Eb2MueG1sUEsFBgAA&#10;AAAGAAYAWQEAAIgFAAAAAA==&#10;">
            <v:stroke endarrow="block"/>
          </v:line>
        </w:pict>
      </w:r>
      <w:r>
        <w:rPr>
          <w:rFonts w:ascii="仿宋_GB2312" w:eastAsia="仿宋_GB2312" w:hAnsi="仿宋_GB2312" w:cs="仿宋_GB2312"/>
          <w:color w:val="000000" w:themeColor="text1"/>
          <w:sz w:val="24"/>
          <w:szCs w:val="24"/>
        </w:rPr>
        <w:pict>
          <v:line id="_x0000_s1045" style="position:absolute;left:0;text-align:left;z-index:251664896;mso-width-relative:page;mso-height-relative:page" from="313.75pt,2.9pt" to="338.85pt,2.9pt" o:gfxdata="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iNCxrXAAAABwEAAA8AAAAAAAAAAQAgAAAAIgAAAGRycy9kb3ducmV2LnhtbFBLAQIUABQAAAAI&#10;AIdO4kCx03+q7gEAAKQDAAAOAAAAAAAAAAEAIAAAACYBAABkcnMvZTJvRG9jLnhtbFBLBQYAAAAA&#10;BgAGAFkBAACGBQAAAAA=&#10;">
            <v:stroke endarrow="block"/>
          </v:line>
        </w:pict>
      </w: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1B499F">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pict>
          <v:line id="_x0000_s1046" style="position:absolute;left:0;text-align:left;z-index:251665920;mso-width-relative:page;mso-height-relative:page" from="54pt,2.55pt" to="54pt,25.95pt" o:gfxdata="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fv&#10;xXvUAAAACAEAAA8AAAAAAAAAAQAgAAAAIgAAAGRycy9kb3ducmV2LnhtbFBLAQIUABQAAAAIAIdO&#10;4kDQcKW67gEAAKQDAAAOAAAAAAAAAAEAIAAAACMBAABkcnMvZTJvRG9jLnhtbFBLBQYAAAAABgAG&#10;AFkBAACDBQAAAAA=&#10;">
            <v:stroke endarrow="block"/>
          </v:line>
        </w:pict>
      </w:r>
    </w:p>
    <w:p w:rsidR="00E37845" w:rsidRDefault="001B499F">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pict>
          <v:shape id="_x0000_s1047" type="#_x0000_t202" style="position:absolute;left:0;text-align:left;margin-left:9pt;margin-top:7.8pt;width:87.85pt;height:21.8pt;z-index:251666944;mso-width-relative:page;mso-height-relative:page" o:gfxdata="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aYxxHYAAAACAEAAA8AAAAAAAAAAQAgAAAAIgAAAGRycy9kb3ducmV2Lnht&#10;bFBLAQIUABQAAAAIAIdO4kADVZhjMgIAAFQEAAAOAAAAAAAAAAEAIAAAACcBAABkcnMvZTJvRG9j&#10;LnhtbFBLBQYAAAAABgAGAFkBAADLBQAAAAA=&#10;">
            <v:textbox>
              <w:txbxContent>
                <w:p w:rsidR="00E37845" w:rsidRDefault="00E22BDD">
                  <w:pPr>
                    <w:pStyle w:val="21"/>
                    <w:spacing w:line="300" w:lineRule="exact"/>
                    <w:jc w:val="center"/>
                    <w:rPr>
                      <w:rFonts w:ascii="仿宋_GB2312" w:eastAsia="仿宋_GB2312"/>
                    </w:rPr>
                  </w:pPr>
                  <w:r>
                    <w:rPr>
                      <w:rFonts w:ascii="仿宋_GB2312" w:eastAsia="仿宋_GB2312" w:hint="eastAsia"/>
                    </w:rPr>
                    <w:t>医疗救治</w:t>
                  </w:r>
                </w:p>
              </w:txbxContent>
            </v:textbox>
          </v:shape>
        </w:pict>
      </w:r>
    </w:p>
    <w:p w:rsidR="00E37845" w:rsidRDefault="001B499F">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pict>
          <v:line id="_x0000_s1048" style="position:absolute;left:0;text-align:left;z-index:251667968;mso-width-relative:page;mso-height-relative:page" from="54pt,14pt" to="54pt,37.4pt" o:gfxdata="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f/uxF1wAAAAkBAAAPAAAAAAAAAAEAIAAAACIAAABkcnMvZG93bnJldi54bWxQSwECFAAUAAAA&#10;CACHTuJA4QQrbe8BAACkAwAADgAAAAAAAAABACAAAAAmAQAAZHJzL2Uyb0RvYy54bWxQSwUGAAAA&#10;AAYABgBZAQAAhwUAAAAA&#10;">
            <v:stroke endarrow="block"/>
          </v:line>
        </w:pict>
      </w:r>
    </w:p>
    <w:p w:rsidR="00E37845" w:rsidRDefault="001B499F">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pict>
          <v:shape id="_x0000_s1049" type="#_x0000_t202" style="position:absolute;left:0;text-align:left;margin-left:9pt;margin-top:21.8pt;width:87.85pt;height:23.4pt;z-index:251668992;mso-width-relative:page;mso-height-relative:page" o:gfxdata="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UNViHXAAAACAEAAA8AAAAAAAAAAQAgAAAAIgAAAGRycy9kb3ducmV2Lnht&#10;bFBLAQIUABQAAAAIAIdO4kCc60n3MwIAAFQEAAAOAAAAAAAAAAEAIAAAACYBAABkcnMvZTJvRG9j&#10;LnhtbFBLBQYAAAAABgAGAFkBAADLBQAAAAA=&#10;">
            <v:textbox>
              <w:txbxContent>
                <w:p w:rsidR="00E37845" w:rsidRDefault="00E22BDD">
                  <w:pPr>
                    <w:pStyle w:val="21"/>
                    <w:spacing w:line="300" w:lineRule="exact"/>
                    <w:jc w:val="center"/>
                    <w:rPr>
                      <w:rFonts w:ascii="仿宋_GB2312" w:eastAsia="仿宋_GB2312"/>
                    </w:rPr>
                  </w:pPr>
                  <w:r>
                    <w:rPr>
                      <w:rFonts w:ascii="仿宋_GB2312" w:eastAsia="仿宋_GB2312" w:hint="eastAsia"/>
                    </w:rPr>
                    <w:t>康复治疗</w:t>
                  </w:r>
                </w:p>
              </w:txbxContent>
            </v:textbox>
          </v:shape>
        </w:pict>
      </w: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教职工若因工作发生工伤，则应先在薪酬管理科进行登记，同时准备送审材料，尽快交至薪酬管理科。待学校审核后，送至白云区人力资源与社会保障局受理，待白云区人力资源与社会保障局审查、处理、作出决定后通知受伤职工一同前往领取工伤认定书。期间，符合条件、材料齐全的予以受理，并发给受理回执；申请人提供材料不完整的，当场或在</w:t>
      </w:r>
      <w:r>
        <w:rPr>
          <w:rFonts w:ascii="仿宋_GB2312" w:eastAsia="仿宋_GB2312" w:hAnsi="仿宋_GB2312" w:cs="仿宋_GB2312"/>
          <w:color w:val="000000" w:themeColor="text1"/>
          <w:sz w:val="24"/>
          <w:szCs w:val="24"/>
        </w:rPr>
        <w:t>15个工作日内，以书面形式一次性告知。自受理之日起60日内</w:t>
      </w:r>
      <w:r>
        <w:rPr>
          <w:rFonts w:ascii="仿宋_GB2312" w:eastAsia="仿宋_GB2312" w:hAnsi="仿宋_GB2312" w:cs="仿宋_GB2312" w:hint="eastAsia"/>
          <w:color w:val="000000" w:themeColor="text1"/>
          <w:sz w:val="24"/>
          <w:szCs w:val="24"/>
        </w:rPr>
        <w:t>作出工伤认定结论。</w:t>
      </w: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tbl>
      <w:tblPr>
        <w:tblW w:w="8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4132"/>
        <w:gridCol w:w="3339"/>
      </w:tblGrid>
      <w:tr w:rsidR="00E37845">
        <w:trPr>
          <w:trHeight w:val="513"/>
        </w:trPr>
        <w:tc>
          <w:tcPr>
            <w:tcW w:w="849" w:type="dxa"/>
            <w:vAlign w:val="center"/>
          </w:tcPr>
          <w:p w:rsidR="00E37845" w:rsidRDefault="00E22BDD">
            <w:pPr>
              <w:adjustRightInd w:val="0"/>
              <w:snapToGrid w:val="0"/>
              <w:spacing w:beforeLines="30" w:before="93" w:line="360" w:lineRule="auto"/>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序号</w:t>
            </w:r>
          </w:p>
        </w:tc>
        <w:tc>
          <w:tcPr>
            <w:tcW w:w="4132" w:type="dxa"/>
            <w:vAlign w:val="center"/>
          </w:tcPr>
          <w:p w:rsidR="00E37845" w:rsidRDefault="00E22BDD">
            <w:pPr>
              <w:adjustRightInd w:val="0"/>
              <w:snapToGrid w:val="0"/>
              <w:spacing w:beforeLines="30" w:before="93" w:line="360" w:lineRule="auto"/>
              <w:ind w:firstLineChars="200" w:firstLine="482"/>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送审材料清单</w:t>
            </w:r>
          </w:p>
        </w:tc>
        <w:tc>
          <w:tcPr>
            <w:tcW w:w="3339" w:type="dxa"/>
            <w:vAlign w:val="center"/>
          </w:tcPr>
          <w:p w:rsidR="00E37845" w:rsidRDefault="00E22BDD">
            <w:pPr>
              <w:adjustRightInd w:val="0"/>
              <w:snapToGrid w:val="0"/>
              <w:spacing w:beforeLines="30" w:before="93" w:line="360" w:lineRule="auto"/>
              <w:ind w:firstLineChars="200" w:firstLine="482"/>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备注</w:t>
            </w:r>
          </w:p>
        </w:tc>
      </w:tr>
      <w:tr w:rsidR="00E37845">
        <w:trPr>
          <w:trHeight w:hRule="exact" w:val="428"/>
        </w:trPr>
        <w:tc>
          <w:tcPr>
            <w:tcW w:w="849" w:type="dxa"/>
            <w:vAlign w:val="center"/>
          </w:tcPr>
          <w:p w:rsidR="00E37845" w:rsidRDefault="00E22BDD">
            <w:pPr>
              <w:adjustRightInd w:val="0"/>
              <w:snapToGrid w:val="0"/>
              <w:spacing w:beforeLines="30" w:before="93"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w:t>
            </w:r>
          </w:p>
        </w:tc>
        <w:tc>
          <w:tcPr>
            <w:tcW w:w="4132" w:type="dxa"/>
            <w:vAlign w:val="center"/>
          </w:tcPr>
          <w:p w:rsidR="00E37845" w:rsidRDefault="00E22BDD">
            <w:pPr>
              <w:widowControl/>
              <w:adjustRightInd w:val="0"/>
              <w:snapToGrid w:val="0"/>
              <w:spacing w:beforeLines="30" w:before="93"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工伤认定申请表（下载）</w:t>
            </w:r>
          </w:p>
        </w:tc>
        <w:tc>
          <w:tcPr>
            <w:tcW w:w="3339" w:type="dxa"/>
            <w:vAlign w:val="center"/>
          </w:tcPr>
          <w:p w:rsidR="00E37845" w:rsidRDefault="00E37845">
            <w:pPr>
              <w:adjustRightInd w:val="0"/>
              <w:snapToGrid w:val="0"/>
              <w:spacing w:beforeLines="30" w:before="93" w:line="360" w:lineRule="auto"/>
              <w:ind w:firstLineChars="200" w:firstLine="480"/>
              <w:jc w:val="center"/>
              <w:rPr>
                <w:rFonts w:ascii="仿宋_GB2312" w:eastAsia="仿宋_GB2312" w:hAnsi="仿宋_GB2312" w:cs="仿宋_GB2312"/>
                <w:color w:val="000000" w:themeColor="text1"/>
                <w:sz w:val="24"/>
                <w:szCs w:val="24"/>
              </w:rPr>
            </w:pPr>
          </w:p>
        </w:tc>
      </w:tr>
      <w:tr w:rsidR="00E37845">
        <w:trPr>
          <w:trHeight w:hRule="exact" w:val="428"/>
        </w:trPr>
        <w:tc>
          <w:tcPr>
            <w:tcW w:w="849" w:type="dxa"/>
            <w:vAlign w:val="center"/>
          </w:tcPr>
          <w:p w:rsidR="00E37845" w:rsidRDefault="00E22BDD">
            <w:pPr>
              <w:adjustRightInd w:val="0"/>
              <w:snapToGrid w:val="0"/>
              <w:spacing w:beforeLines="30" w:before="93"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w:t>
            </w:r>
          </w:p>
        </w:tc>
        <w:tc>
          <w:tcPr>
            <w:tcW w:w="4132" w:type="dxa"/>
            <w:vAlign w:val="center"/>
          </w:tcPr>
          <w:p w:rsidR="00E37845" w:rsidRDefault="00E22BDD">
            <w:pPr>
              <w:widowControl/>
              <w:adjustRightInd w:val="0"/>
              <w:snapToGrid w:val="0"/>
              <w:spacing w:beforeLines="30" w:before="93"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广州市单位职工工伤认定申请表（下载）</w:t>
            </w:r>
          </w:p>
        </w:tc>
        <w:tc>
          <w:tcPr>
            <w:tcW w:w="3339" w:type="dxa"/>
            <w:vAlign w:val="center"/>
          </w:tcPr>
          <w:p w:rsidR="00E37845" w:rsidRDefault="00E37845">
            <w:pPr>
              <w:adjustRightInd w:val="0"/>
              <w:snapToGrid w:val="0"/>
              <w:spacing w:beforeLines="30" w:before="93" w:line="360" w:lineRule="auto"/>
              <w:ind w:firstLineChars="200" w:firstLine="480"/>
              <w:jc w:val="center"/>
              <w:rPr>
                <w:rFonts w:ascii="仿宋_GB2312" w:eastAsia="仿宋_GB2312" w:hAnsi="仿宋_GB2312" w:cs="仿宋_GB2312"/>
                <w:color w:val="000000" w:themeColor="text1"/>
                <w:sz w:val="24"/>
                <w:szCs w:val="24"/>
              </w:rPr>
            </w:pPr>
          </w:p>
        </w:tc>
      </w:tr>
      <w:tr w:rsidR="00E37845">
        <w:trPr>
          <w:trHeight w:hRule="exact" w:val="428"/>
        </w:trPr>
        <w:tc>
          <w:tcPr>
            <w:tcW w:w="849" w:type="dxa"/>
            <w:vAlign w:val="center"/>
          </w:tcPr>
          <w:p w:rsidR="00E37845" w:rsidRDefault="00E22BDD">
            <w:pPr>
              <w:adjustRightInd w:val="0"/>
              <w:snapToGrid w:val="0"/>
              <w:spacing w:beforeLines="30" w:before="93"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3</w:t>
            </w:r>
          </w:p>
        </w:tc>
        <w:tc>
          <w:tcPr>
            <w:tcW w:w="4132" w:type="dxa"/>
            <w:vAlign w:val="center"/>
          </w:tcPr>
          <w:p w:rsidR="00E37845" w:rsidRDefault="00E22BDD">
            <w:pPr>
              <w:widowControl/>
              <w:adjustRightInd w:val="0"/>
              <w:snapToGrid w:val="0"/>
              <w:spacing w:beforeLines="30" w:before="93"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工伤事故报告</w:t>
            </w:r>
          </w:p>
        </w:tc>
        <w:tc>
          <w:tcPr>
            <w:tcW w:w="3339" w:type="dxa"/>
            <w:vAlign w:val="center"/>
          </w:tcPr>
          <w:p w:rsidR="00E37845" w:rsidRDefault="00E22BDD">
            <w:pPr>
              <w:adjustRightInd w:val="0"/>
              <w:snapToGrid w:val="0"/>
              <w:spacing w:beforeLines="30" w:before="93"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内容包括时间、地点、受伤部位、事发经过、事故原因</w:t>
            </w:r>
          </w:p>
        </w:tc>
      </w:tr>
      <w:tr w:rsidR="00E37845">
        <w:trPr>
          <w:trHeight w:hRule="exact" w:val="428"/>
        </w:trPr>
        <w:tc>
          <w:tcPr>
            <w:tcW w:w="849" w:type="dxa"/>
            <w:vAlign w:val="center"/>
          </w:tcPr>
          <w:p w:rsidR="00E37845" w:rsidRDefault="00E22BDD">
            <w:pPr>
              <w:adjustRightInd w:val="0"/>
              <w:snapToGrid w:val="0"/>
              <w:spacing w:beforeLines="30" w:before="93"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4</w:t>
            </w:r>
          </w:p>
        </w:tc>
        <w:tc>
          <w:tcPr>
            <w:tcW w:w="4132" w:type="dxa"/>
            <w:vAlign w:val="center"/>
          </w:tcPr>
          <w:p w:rsidR="00E37845" w:rsidRDefault="00E22BDD">
            <w:pPr>
              <w:widowControl/>
              <w:adjustRightInd w:val="0"/>
              <w:snapToGrid w:val="0"/>
              <w:spacing w:beforeLines="30" w:before="93"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授权委托证明书</w:t>
            </w:r>
          </w:p>
        </w:tc>
        <w:tc>
          <w:tcPr>
            <w:tcW w:w="3339" w:type="dxa"/>
            <w:vAlign w:val="center"/>
          </w:tcPr>
          <w:p w:rsidR="00E37845" w:rsidRDefault="00E37845">
            <w:pPr>
              <w:adjustRightInd w:val="0"/>
              <w:snapToGrid w:val="0"/>
              <w:spacing w:beforeLines="30" w:before="93" w:line="360" w:lineRule="auto"/>
              <w:ind w:firstLineChars="200" w:firstLine="480"/>
              <w:jc w:val="center"/>
              <w:rPr>
                <w:rFonts w:ascii="仿宋_GB2312" w:eastAsia="仿宋_GB2312" w:hAnsi="仿宋_GB2312" w:cs="仿宋_GB2312"/>
                <w:color w:val="000000" w:themeColor="text1"/>
                <w:sz w:val="24"/>
                <w:szCs w:val="24"/>
              </w:rPr>
            </w:pPr>
          </w:p>
        </w:tc>
      </w:tr>
      <w:tr w:rsidR="00E37845">
        <w:trPr>
          <w:trHeight w:hRule="exact" w:val="428"/>
        </w:trPr>
        <w:tc>
          <w:tcPr>
            <w:tcW w:w="849" w:type="dxa"/>
            <w:vAlign w:val="center"/>
          </w:tcPr>
          <w:p w:rsidR="00E37845" w:rsidRDefault="00E22BDD">
            <w:pPr>
              <w:adjustRightInd w:val="0"/>
              <w:snapToGrid w:val="0"/>
              <w:spacing w:beforeLines="30" w:before="93"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5</w:t>
            </w:r>
          </w:p>
        </w:tc>
        <w:tc>
          <w:tcPr>
            <w:tcW w:w="4132" w:type="dxa"/>
            <w:vAlign w:val="center"/>
          </w:tcPr>
          <w:p w:rsidR="00E37845" w:rsidRDefault="00E22BDD">
            <w:pPr>
              <w:widowControl/>
              <w:adjustRightInd w:val="0"/>
              <w:snapToGrid w:val="0"/>
              <w:spacing w:beforeLines="30" w:before="93"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劳动关系证明材料</w:t>
            </w:r>
          </w:p>
        </w:tc>
        <w:tc>
          <w:tcPr>
            <w:tcW w:w="3339" w:type="dxa"/>
            <w:vAlign w:val="center"/>
          </w:tcPr>
          <w:p w:rsidR="00E37845" w:rsidRDefault="00E37845">
            <w:pPr>
              <w:adjustRightInd w:val="0"/>
              <w:snapToGrid w:val="0"/>
              <w:spacing w:beforeLines="30" w:before="93" w:line="360" w:lineRule="auto"/>
              <w:ind w:firstLineChars="200" w:firstLine="480"/>
              <w:jc w:val="center"/>
              <w:rPr>
                <w:rFonts w:ascii="仿宋_GB2312" w:eastAsia="仿宋_GB2312" w:hAnsi="仿宋_GB2312" w:cs="仿宋_GB2312"/>
                <w:color w:val="000000" w:themeColor="text1"/>
                <w:sz w:val="24"/>
                <w:szCs w:val="24"/>
              </w:rPr>
            </w:pPr>
          </w:p>
        </w:tc>
      </w:tr>
      <w:tr w:rsidR="00E37845">
        <w:trPr>
          <w:trHeight w:hRule="exact" w:val="428"/>
        </w:trPr>
        <w:tc>
          <w:tcPr>
            <w:tcW w:w="849" w:type="dxa"/>
            <w:vAlign w:val="center"/>
          </w:tcPr>
          <w:p w:rsidR="00E37845" w:rsidRDefault="00E22BDD">
            <w:pPr>
              <w:adjustRightInd w:val="0"/>
              <w:snapToGrid w:val="0"/>
              <w:spacing w:beforeLines="30" w:before="93"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6</w:t>
            </w:r>
          </w:p>
        </w:tc>
        <w:tc>
          <w:tcPr>
            <w:tcW w:w="4132" w:type="dxa"/>
            <w:vAlign w:val="center"/>
          </w:tcPr>
          <w:p w:rsidR="00E37845" w:rsidRDefault="00E22BDD">
            <w:pPr>
              <w:widowControl/>
              <w:adjustRightInd w:val="0"/>
              <w:snapToGrid w:val="0"/>
              <w:spacing w:beforeLines="30" w:before="93"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受伤者身份证复印件</w:t>
            </w:r>
          </w:p>
        </w:tc>
        <w:tc>
          <w:tcPr>
            <w:tcW w:w="3339" w:type="dxa"/>
            <w:vAlign w:val="center"/>
          </w:tcPr>
          <w:p w:rsidR="00E37845" w:rsidRDefault="00E37845">
            <w:pPr>
              <w:adjustRightInd w:val="0"/>
              <w:snapToGrid w:val="0"/>
              <w:spacing w:beforeLines="30" w:before="93" w:line="360" w:lineRule="auto"/>
              <w:ind w:firstLineChars="200" w:firstLine="480"/>
              <w:jc w:val="center"/>
              <w:rPr>
                <w:rFonts w:ascii="仿宋_GB2312" w:eastAsia="仿宋_GB2312" w:hAnsi="仿宋_GB2312" w:cs="仿宋_GB2312"/>
                <w:color w:val="000000" w:themeColor="text1"/>
                <w:sz w:val="24"/>
                <w:szCs w:val="24"/>
              </w:rPr>
            </w:pPr>
          </w:p>
        </w:tc>
      </w:tr>
      <w:tr w:rsidR="00E37845">
        <w:trPr>
          <w:trHeight w:hRule="exact" w:val="428"/>
        </w:trPr>
        <w:tc>
          <w:tcPr>
            <w:tcW w:w="849" w:type="dxa"/>
            <w:vAlign w:val="center"/>
          </w:tcPr>
          <w:p w:rsidR="00E37845" w:rsidRDefault="00E22BDD">
            <w:pPr>
              <w:adjustRightInd w:val="0"/>
              <w:snapToGrid w:val="0"/>
              <w:spacing w:beforeLines="30" w:before="93"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7</w:t>
            </w:r>
          </w:p>
        </w:tc>
        <w:tc>
          <w:tcPr>
            <w:tcW w:w="4132" w:type="dxa"/>
            <w:vAlign w:val="center"/>
          </w:tcPr>
          <w:p w:rsidR="00E37845" w:rsidRDefault="00E22BDD">
            <w:pPr>
              <w:widowControl/>
              <w:adjustRightInd w:val="0"/>
              <w:snapToGrid w:val="0"/>
              <w:spacing w:beforeLines="30" w:before="93"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治疗病历复印件</w:t>
            </w:r>
          </w:p>
        </w:tc>
        <w:tc>
          <w:tcPr>
            <w:tcW w:w="3339" w:type="dxa"/>
            <w:vAlign w:val="center"/>
          </w:tcPr>
          <w:p w:rsidR="00E37845" w:rsidRDefault="00E37845">
            <w:pPr>
              <w:adjustRightInd w:val="0"/>
              <w:snapToGrid w:val="0"/>
              <w:spacing w:beforeLines="30" w:before="93" w:line="360" w:lineRule="auto"/>
              <w:ind w:firstLineChars="200" w:firstLine="480"/>
              <w:jc w:val="center"/>
              <w:rPr>
                <w:rFonts w:ascii="仿宋_GB2312" w:eastAsia="仿宋_GB2312" w:hAnsi="仿宋_GB2312" w:cs="仿宋_GB2312"/>
                <w:color w:val="000000" w:themeColor="text1"/>
                <w:sz w:val="24"/>
                <w:szCs w:val="24"/>
              </w:rPr>
            </w:pPr>
          </w:p>
        </w:tc>
      </w:tr>
      <w:tr w:rsidR="00E37845">
        <w:trPr>
          <w:trHeight w:hRule="exact" w:val="428"/>
        </w:trPr>
        <w:tc>
          <w:tcPr>
            <w:tcW w:w="849" w:type="dxa"/>
            <w:vAlign w:val="center"/>
          </w:tcPr>
          <w:p w:rsidR="00E37845" w:rsidRDefault="00E22BDD">
            <w:pPr>
              <w:adjustRightInd w:val="0"/>
              <w:snapToGrid w:val="0"/>
              <w:spacing w:beforeLines="30" w:before="93"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8</w:t>
            </w:r>
          </w:p>
        </w:tc>
        <w:tc>
          <w:tcPr>
            <w:tcW w:w="4132" w:type="dxa"/>
            <w:vAlign w:val="center"/>
          </w:tcPr>
          <w:p w:rsidR="00E37845" w:rsidRDefault="00E22BDD">
            <w:pPr>
              <w:widowControl/>
              <w:adjustRightInd w:val="0"/>
              <w:snapToGrid w:val="0"/>
              <w:spacing w:beforeLines="30" w:before="93"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检查报告复印单</w:t>
            </w:r>
          </w:p>
        </w:tc>
        <w:tc>
          <w:tcPr>
            <w:tcW w:w="3339" w:type="dxa"/>
            <w:vAlign w:val="center"/>
          </w:tcPr>
          <w:p w:rsidR="00E37845" w:rsidRDefault="00E37845">
            <w:pPr>
              <w:adjustRightInd w:val="0"/>
              <w:snapToGrid w:val="0"/>
              <w:spacing w:beforeLines="30" w:before="93" w:line="360" w:lineRule="auto"/>
              <w:ind w:firstLineChars="200" w:firstLine="480"/>
              <w:jc w:val="center"/>
              <w:rPr>
                <w:rFonts w:ascii="仿宋_GB2312" w:eastAsia="仿宋_GB2312" w:hAnsi="仿宋_GB2312" w:cs="仿宋_GB2312"/>
                <w:color w:val="000000" w:themeColor="text1"/>
                <w:sz w:val="24"/>
                <w:szCs w:val="24"/>
              </w:rPr>
            </w:pPr>
          </w:p>
        </w:tc>
      </w:tr>
      <w:tr w:rsidR="00E37845">
        <w:trPr>
          <w:trHeight w:hRule="exact" w:val="428"/>
        </w:trPr>
        <w:tc>
          <w:tcPr>
            <w:tcW w:w="849" w:type="dxa"/>
            <w:vAlign w:val="center"/>
          </w:tcPr>
          <w:p w:rsidR="00E37845" w:rsidRDefault="00E22BDD">
            <w:pPr>
              <w:adjustRightInd w:val="0"/>
              <w:snapToGrid w:val="0"/>
              <w:spacing w:beforeLines="30" w:before="93"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9</w:t>
            </w:r>
          </w:p>
        </w:tc>
        <w:tc>
          <w:tcPr>
            <w:tcW w:w="4132" w:type="dxa"/>
            <w:vAlign w:val="center"/>
          </w:tcPr>
          <w:p w:rsidR="00E37845" w:rsidRDefault="00E22BDD">
            <w:pPr>
              <w:widowControl/>
              <w:adjustRightInd w:val="0"/>
              <w:snapToGrid w:val="0"/>
              <w:spacing w:beforeLines="30" w:before="93"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诊断证明书</w:t>
            </w:r>
          </w:p>
        </w:tc>
        <w:tc>
          <w:tcPr>
            <w:tcW w:w="3339" w:type="dxa"/>
            <w:vAlign w:val="center"/>
          </w:tcPr>
          <w:p w:rsidR="00E37845" w:rsidRDefault="00E37845">
            <w:pPr>
              <w:adjustRightInd w:val="0"/>
              <w:snapToGrid w:val="0"/>
              <w:spacing w:beforeLines="30" w:before="93" w:line="360" w:lineRule="auto"/>
              <w:ind w:firstLineChars="200" w:firstLine="480"/>
              <w:jc w:val="center"/>
              <w:rPr>
                <w:rFonts w:ascii="仿宋_GB2312" w:eastAsia="仿宋_GB2312" w:hAnsi="仿宋_GB2312" w:cs="仿宋_GB2312"/>
                <w:color w:val="000000" w:themeColor="text1"/>
                <w:sz w:val="24"/>
                <w:szCs w:val="24"/>
              </w:rPr>
            </w:pPr>
          </w:p>
        </w:tc>
      </w:tr>
      <w:tr w:rsidR="00E37845">
        <w:trPr>
          <w:trHeight w:hRule="exact" w:val="428"/>
        </w:trPr>
        <w:tc>
          <w:tcPr>
            <w:tcW w:w="849" w:type="dxa"/>
            <w:vAlign w:val="center"/>
          </w:tcPr>
          <w:p w:rsidR="00E37845" w:rsidRDefault="00E22BDD">
            <w:pPr>
              <w:adjustRightInd w:val="0"/>
              <w:snapToGrid w:val="0"/>
              <w:spacing w:beforeLines="30" w:before="93"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10</w:t>
            </w:r>
          </w:p>
        </w:tc>
        <w:tc>
          <w:tcPr>
            <w:tcW w:w="4132" w:type="dxa"/>
            <w:vAlign w:val="center"/>
          </w:tcPr>
          <w:p w:rsidR="00E37845" w:rsidRDefault="00E22BDD">
            <w:pPr>
              <w:widowControl/>
              <w:adjustRightInd w:val="0"/>
              <w:snapToGrid w:val="0"/>
              <w:spacing w:beforeLines="30" w:before="93"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出院小结</w:t>
            </w:r>
          </w:p>
        </w:tc>
        <w:tc>
          <w:tcPr>
            <w:tcW w:w="3339" w:type="dxa"/>
            <w:vAlign w:val="center"/>
          </w:tcPr>
          <w:p w:rsidR="00E37845" w:rsidRDefault="00E22BDD">
            <w:pPr>
              <w:widowControl/>
              <w:adjustRightInd w:val="0"/>
              <w:snapToGrid w:val="0"/>
              <w:spacing w:beforeLines="30" w:before="93"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若住院须提供</w:t>
            </w:r>
          </w:p>
        </w:tc>
      </w:tr>
      <w:tr w:rsidR="00E37845">
        <w:trPr>
          <w:trHeight w:hRule="exact" w:val="428"/>
        </w:trPr>
        <w:tc>
          <w:tcPr>
            <w:tcW w:w="849" w:type="dxa"/>
            <w:vAlign w:val="center"/>
          </w:tcPr>
          <w:p w:rsidR="00E37845" w:rsidRDefault="00E22BDD">
            <w:pPr>
              <w:adjustRightInd w:val="0"/>
              <w:snapToGrid w:val="0"/>
              <w:spacing w:beforeLines="30" w:before="93"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11</w:t>
            </w:r>
          </w:p>
        </w:tc>
        <w:tc>
          <w:tcPr>
            <w:tcW w:w="4132" w:type="dxa"/>
            <w:vAlign w:val="center"/>
          </w:tcPr>
          <w:p w:rsidR="00E37845" w:rsidRDefault="00E22BDD">
            <w:pPr>
              <w:widowControl/>
              <w:adjustRightInd w:val="0"/>
              <w:snapToGrid w:val="0"/>
              <w:spacing w:beforeLines="30" w:before="93"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在场同事证明</w:t>
            </w:r>
          </w:p>
        </w:tc>
        <w:tc>
          <w:tcPr>
            <w:tcW w:w="3339" w:type="dxa"/>
            <w:vAlign w:val="center"/>
          </w:tcPr>
          <w:p w:rsidR="00E37845" w:rsidRDefault="00E22BDD">
            <w:pPr>
              <w:adjustRightInd w:val="0"/>
              <w:snapToGrid w:val="0"/>
              <w:spacing w:beforeLines="30" w:before="93"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内容包括时间、地点、所目睹的事发经过</w:t>
            </w:r>
          </w:p>
        </w:tc>
      </w:tr>
      <w:tr w:rsidR="00E37845">
        <w:trPr>
          <w:trHeight w:hRule="exact" w:val="439"/>
        </w:trPr>
        <w:tc>
          <w:tcPr>
            <w:tcW w:w="849" w:type="dxa"/>
            <w:vAlign w:val="center"/>
          </w:tcPr>
          <w:p w:rsidR="00E37845" w:rsidRDefault="00E22BDD">
            <w:pPr>
              <w:adjustRightInd w:val="0"/>
              <w:snapToGrid w:val="0"/>
              <w:spacing w:beforeLines="30" w:before="93"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12</w:t>
            </w:r>
          </w:p>
        </w:tc>
        <w:tc>
          <w:tcPr>
            <w:tcW w:w="4132" w:type="dxa"/>
            <w:vAlign w:val="center"/>
          </w:tcPr>
          <w:p w:rsidR="00E37845" w:rsidRDefault="00E22BDD">
            <w:pPr>
              <w:widowControl/>
              <w:adjustRightInd w:val="0"/>
              <w:snapToGrid w:val="0"/>
              <w:spacing w:beforeLines="30" w:before="93"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证明人身份证复印件</w:t>
            </w:r>
          </w:p>
        </w:tc>
        <w:tc>
          <w:tcPr>
            <w:tcW w:w="3339" w:type="dxa"/>
            <w:vAlign w:val="center"/>
          </w:tcPr>
          <w:p w:rsidR="00E37845" w:rsidRDefault="00E37845">
            <w:pPr>
              <w:adjustRightInd w:val="0"/>
              <w:snapToGrid w:val="0"/>
              <w:spacing w:beforeLines="30" w:before="93" w:line="360" w:lineRule="auto"/>
              <w:ind w:firstLineChars="200" w:firstLine="480"/>
              <w:jc w:val="center"/>
              <w:rPr>
                <w:rFonts w:ascii="仿宋_GB2312" w:eastAsia="仿宋_GB2312" w:hAnsi="仿宋_GB2312" w:cs="仿宋_GB2312"/>
                <w:color w:val="000000" w:themeColor="text1"/>
                <w:sz w:val="24"/>
                <w:szCs w:val="24"/>
              </w:rPr>
            </w:pPr>
          </w:p>
        </w:tc>
      </w:tr>
    </w:tbl>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966" w:name="_Toc15515"/>
      <w:bookmarkStart w:id="967" w:name="_Toc5374"/>
      <w:bookmarkStart w:id="968" w:name="_Toc30109"/>
      <w:bookmarkStart w:id="969" w:name="_Toc9300"/>
      <w:bookmarkStart w:id="970" w:name="_Toc4088"/>
      <w:bookmarkStart w:id="971" w:name="_Toc17259"/>
      <w:bookmarkStart w:id="972" w:name="_Toc17148"/>
      <w:bookmarkStart w:id="973" w:name="_Toc3446"/>
      <w:bookmarkStart w:id="974" w:name="_Toc6800"/>
      <w:bookmarkStart w:id="975" w:name="_Toc519780961"/>
      <w:bookmarkStart w:id="976" w:name="_Toc19834"/>
      <w:bookmarkStart w:id="977" w:name="_Toc3234"/>
      <w:bookmarkStart w:id="978" w:name="_Toc8273"/>
      <w:bookmarkStart w:id="979" w:name="_Toc11430"/>
      <w:bookmarkStart w:id="980" w:name="_Toc12885"/>
      <w:bookmarkStart w:id="981" w:name="_Toc8495"/>
      <w:bookmarkStart w:id="982" w:name="_Toc29353"/>
      <w:bookmarkStart w:id="983" w:name="_Toc19793"/>
      <w:bookmarkStart w:id="984" w:name="_Toc10118"/>
      <w:bookmarkStart w:id="985" w:name="_Toc8455"/>
      <w:bookmarkStart w:id="986" w:name="_Toc25395"/>
      <w:bookmarkStart w:id="987" w:name="_Toc20967"/>
      <w:bookmarkStart w:id="988" w:name="_Toc1746"/>
      <w:bookmarkStart w:id="989" w:name="_Toc697"/>
      <w:bookmarkStart w:id="990" w:name="_Toc9626"/>
      <w:bookmarkStart w:id="991" w:name="_Toc31963"/>
      <w:r>
        <w:rPr>
          <w:rFonts w:ascii="黑体" w:eastAsia="黑体" w:hAnsi="黑体" w:cs="黑体" w:hint="eastAsia"/>
          <w:color w:val="000000" w:themeColor="text1"/>
          <w:sz w:val="28"/>
          <w:szCs w:val="28"/>
        </w:rPr>
        <w:lastRenderedPageBreak/>
        <w:t>4.6.3福利</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1.探亲费报销</w:t>
      </w:r>
    </w:p>
    <w:p w:rsidR="00E37845" w:rsidRDefault="001B499F">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pict>
          <v:shape id="_x0000_s1050" type="#_x0000_t202" style="position:absolute;left:0;text-align:left;margin-left:12.15pt;margin-top:7.8pt;width:98.15pt;height:53.6pt;z-index:251624960;mso-width-relative:page;mso-height-relative:page" o:gfxdata="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kYXkLYAAAACQEAAA8AAAAAAAAAAQAgAAAAIgAAAGRycy9kb3ducmV2Lnht&#10;bFBLAQIUABQAAAAIAIdO4kCDJkh/MgIAAFQEAAAOAAAAAAAAAAEAIAAAACcBAABkcnMvZTJvRG9j&#10;LnhtbFBLBQYAAAAABgAGAFkBAADLBQAAAAA=&#10;">
            <v:textbox>
              <w:txbxContent>
                <w:p w:rsidR="00E37845" w:rsidRDefault="00E22BDD">
                  <w:pPr>
                    <w:pStyle w:val="21"/>
                    <w:spacing w:line="300" w:lineRule="exact"/>
                    <w:rPr>
                      <w:rFonts w:ascii="仿宋_GB2312" w:eastAsia="仿宋_GB2312"/>
                    </w:rPr>
                  </w:pPr>
                  <w:r>
                    <w:rPr>
                      <w:rFonts w:ascii="仿宋_GB2312" w:eastAsia="仿宋_GB2312" w:hint="eastAsia"/>
                      <w:spacing w:val="-11"/>
                    </w:rPr>
                    <w:t>人事处主页下载填写《广州大学教职工探亲申请审</w:t>
                  </w:r>
                  <w:r>
                    <w:rPr>
                      <w:rFonts w:ascii="仿宋_GB2312" w:eastAsia="仿宋_GB2312" w:hint="eastAsia"/>
                    </w:rPr>
                    <w:t>批表》</w:t>
                  </w:r>
                </w:p>
              </w:txbxContent>
            </v:textbox>
          </v:shape>
        </w:pict>
      </w:r>
      <w:r>
        <w:rPr>
          <w:rFonts w:ascii="仿宋_GB2312" w:eastAsia="仿宋_GB2312" w:hAnsi="仿宋_GB2312" w:cs="仿宋_GB2312"/>
          <w:color w:val="000000" w:themeColor="text1"/>
          <w:sz w:val="24"/>
          <w:szCs w:val="24"/>
        </w:rPr>
        <w:pict>
          <v:shape id="_x0000_s1051" type="#_x0000_t202" style="position:absolute;left:0;text-align:left;margin-left:337.55pt;margin-top:7.05pt;width:88.85pt;height:55.25pt;z-index:251628032;mso-width-relative:page;mso-height-relative:page" o:gfxdata="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0abPs9kAAAAKAQAADwAAAAAAAAABACAAAAAiAAAAZHJzL2Rvd25yZXYu&#10;eG1sUEsBAhQAFAAAAAgAh07iQMFv9dEzAgAAVAQAAA4AAAAAAAAAAQAgAAAAKAEAAGRycy9lMm9E&#10;b2MueG1sUEsFBgAAAAAGAAYAWQEAAM0FAAAAAA==&#10;">
            <v:textbox>
              <w:txbxContent>
                <w:p w:rsidR="00E37845" w:rsidRDefault="00E22BDD">
                  <w:pPr>
                    <w:pStyle w:val="21"/>
                    <w:spacing w:line="300" w:lineRule="exact"/>
                    <w:rPr>
                      <w:rFonts w:ascii="仿宋_GB2312" w:eastAsia="仿宋_GB2312"/>
                      <w:color w:val="FF0000"/>
                      <w:szCs w:val="21"/>
                    </w:rPr>
                  </w:pPr>
                  <w:r>
                    <w:rPr>
                      <w:rFonts w:ascii="仿宋_GB2312" w:eastAsia="仿宋_GB2312" w:hint="eastAsia"/>
                      <w:szCs w:val="21"/>
                    </w:rPr>
                    <w:t>个人准备有效票据，到财务处报销。</w:t>
                  </w:r>
                </w:p>
                <w:p w:rsidR="00E37845" w:rsidRDefault="00E37845">
                  <w:pPr>
                    <w:pStyle w:val="30"/>
                    <w:rPr>
                      <w:rFonts w:ascii="仿宋_GB2312" w:eastAsia="仿宋_GB2312"/>
                      <w:sz w:val="21"/>
                      <w:szCs w:val="21"/>
                    </w:rPr>
                  </w:pPr>
                </w:p>
                <w:p w:rsidR="00E37845" w:rsidRDefault="00E22BDD">
                  <w:pPr>
                    <w:pStyle w:val="30"/>
                    <w:rPr>
                      <w:rFonts w:ascii="仿宋_GB2312" w:eastAsia="仿宋_GB2312"/>
                      <w:sz w:val="21"/>
                      <w:szCs w:val="21"/>
                    </w:rPr>
                  </w:pPr>
                  <w:r>
                    <w:rPr>
                      <w:rFonts w:ascii="仿宋_GB2312" w:eastAsia="仿宋_GB2312" w:hint="eastAsia"/>
                      <w:sz w:val="21"/>
                      <w:szCs w:val="21"/>
                    </w:rPr>
                    <w:t>财务处报销</w:t>
                  </w:r>
                </w:p>
              </w:txbxContent>
            </v:textbox>
          </v:shape>
        </w:pict>
      </w:r>
      <w:r>
        <w:rPr>
          <w:rFonts w:ascii="仿宋_GB2312" w:eastAsia="仿宋_GB2312" w:hAnsi="仿宋_GB2312" w:cs="仿宋_GB2312"/>
          <w:color w:val="000000" w:themeColor="text1"/>
          <w:sz w:val="24"/>
          <w:szCs w:val="24"/>
        </w:rPr>
        <w:pict>
          <v:shape id="_x0000_s1052" type="#_x0000_t202" style="position:absolute;left:0;text-align:left;margin-left:238.45pt;margin-top:7.8pt;width:75.3pt;height:54.6pt;z-index:251627008;mso-width-relative:page;mso-height-relative:page" o:gfxdata="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yxz6j2QAAAAoBAAAPAAAAAAAAAAEAIAAAACIAAABkcnMvZG93bnJldi54&#10;bWxQSwECFAAUAAAACACHTuJAVs0K5DICAABTBAAADgAAAAAAAAABACAAAAAoAQAAZHJzL2Uyb0Rv&#10;Yy54bWxQSwUGAAAAAAYABgBZAQAAzAUAAAAA&#10;">
            <v:textbox>
              <w:txbxContent>
                <w:p w:rsidR="00E37845" w:rsidRDefault="00E22BDD">
                  <w:pPr>
                    <w:pStyle w:val="30"/>
                    <w:spacing w:line="300" w:lineRule="exact"/>
                    <w:rPr>
                      <w:rFonts w:ascii="仿宋_GB2312" w:eastAsia="仿宋_GB2312"/>
                      <w:sz w:val="21"/>
                      <w:szCs w:val="21"/>
                    </w:rPr>
                  </w:pPr>
                  <w:r>
                    <w:rPr>
                      <w:rFonts w:ascii="仿宋_GB2312" w:eastAsia="仿宋_GB2312" w:hint="eastAsia"/>
                      <w:sz w:val="21"/>
                      <w:szCs w:val="21"/>
                    </w:rPr>
                    <w:t>人事处审批、登记</w:t>
                  </w:r>
                </w:p>
              </w:txbxContent>
            </v:textbox>
          </v:shape>
        </w:pict>
      </w:r>
      <w:r>
        <w:rPr>
          <w:rFonts w:ascii="仿宋_GB2312" w:eastAsia="仿宋_GB2312" w:hAnsi="仿宋_GB2312" w:cs="仿宋_GB2312"/>
          <w:color w:val="000000" w:themeColor="text1"/>
          <w:sz w:val="24"/>
          <w:szCs w:val="24"/>
        </w:rPr>
        <w:pict>
          <v:shape id="_x0000_s1053" type="#_x0000_t202" style="position:absolute;left:0;text-align:left;margin-left:126pt;margin-top:7.8pt;width:87.85pt;height:53.05pt;z-index:251625984;mso-width-relative:page;mso-height-relative:page" o:gfxdata="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H/hHZAAAACgEAAA8AAAAAAAAAAQAgAAAAIgAAAGRycy9kb3ducmV2&#10;LnhtbFBLAQIUABQAAAAIAIdO4kAQzEDsNAIAAFQEAAAOAAAAAAAAAAEAIAAAACgBAABkcnMvZTJv&#10;RG9jLnhtbFBLBQYAAAAABgAGAFkBAADOBQAAAAA=&#10;">
            <v:textbox>
              <w:txbxContent>
                <w:p w:rsidR="00E37845" w:rsidRDefault="00E22BDD">
                  <w:pPr>
                    <w:pStyle w:val="21"/>
                    <w:spacing w:line="300" w:lineRule="exact"/>
                    <w:jc w:val="center"/>
                    <w:rPr>
                      <w:rFonts w:ascii="仿宋_GB2312" w:eastAsia="仿宋_GB2312"/>
                    </w:rPr>
                  </w:pPr>
                  <w:r>
                    <w:rPr>
                      <w:rFonts w:ascii="仿宋_GB2312" w:eastAsia="仿宋_GB2312" w:hint="eastAsia"/>
                    </w:rPr>
                    <w:t>所在单位审批</w:t>
                  </w:r>
                </w:p>
              </w:txbxContent>
            </v:textbox>
          </v:shape>
        </w:pict>
      </w:r>
    </w:p>
    <w:p w:rsidR="00E37845" w:rsidRDefault="001B499F">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pict>
          <v:line id="_x0000_s1054" style="position:absolute;left:0;text-align:left;flip:y;z-index:251637248;mso-width-relative:page;mso-height-relative:page" from="110.9pt,2.95pt" to="127pt,3.65pt" o:gfxdata="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1ssSHYAAAABwEAAA8AAAAAAAAAAQAgAAAAIgAAAGRycy9kb3ducmV2Lnht&#10;bFBLAQIUABQAAAAIAIdO4kDd0l8n+QEAALEDAAAOAAAAAAAAAAEAIAAAACcBAABkcnMvZTJvRG9j&#10;LnhtbFBLBQYAAAAABgAGAFkBAACSBQAAAAA=&#10;">
            <v:stroke endarrow="block"/>
          </v:line>
        </w:pict>
      </w:r>
      <w:r>
        <w:rPr>
          <w:rFonts w:ascii="仿宋_GB2312" w:eastAsia="仿宋_GB2312" w:hAnsi="仿宋_GB2312" w:cs="仿宋_GB2312"/>
          <w:color w:val="000000" w:themeColor="text1"/>
          <w:sz w:val="24"/>
          <w:szCs w:val="24"/>
        </w:rPr>
        <w:pict>
          <v:line id="_x0000_s1055" style="position:absolute;left:0;text-align:left;z-index:251638272;mso-width-relative:page;mso-height-relative:page" from="213.35pt,2.9pt" to="238.45pt,2.9pt" o:gfxdata="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3szmtgAAAAHAQAADwAAAAAAAAABACAAAAAiAAAAZHJzL2Rvd25yZXYueG1sUEsBAhQAFAAA&#10;AAgAh07iQMY4Qs/vAQAApAMAAA4AAAAAAAAAAQAgAAAAJwEAAGRycy9lMm9Eb2MueG1sUEsFBgAA&#10;AAAGAAYAWQEAAIgFAAAAAA==&#10;">
            <v:stroke endarrow="block"/>
          </v:line>
        </w:pict>
      </w:r>
      <w:r>
        <w:rPr>
          <w:rFonts w:ascii="仿宋_GB2312" w:eastAsia="仿宋_GB2312" w:hAnsi="仿宋_GB2312" w:cs="仿宋_GB2312"/>
          <w:color w:val="000000" w:themeColor="text1"/>
          <w:sz w:val="24"/>
          <w:szCs w:val="24"/>
        </w:rPr>
        <w:pict>
          <v:line id="_x0000_s1056" style="position:absolute;left:0;text-align:left;z-index:251639296;mso-width-relative:page;mso-height-relative:page" from="313.75pt,2.9pt" to="338.85pt,2.9pt" o:gfxdata="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iNCxrXAAAABwEAAA8AAAAAAAAAAQAgAAAAIgAAAGRycy9kb3ducmV2LnhtbFBLAQIUABQAAAAI&#10;AIdO4kBv7WSD7gEAAKQDAAAOAAAAAAAAAAEAIAAAACYBAABkcnMvZTJvRG9jLnhtbFBLBQYAAAAA&#10;BgAGAFkBAACGBQAAAAA=&#10;">
            <v:stroke endarrow="block"/>
          </v:line>
        </w:pict>
      </w: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20"/>
        <w:rPr>
          <w:rFonts w:ascii="仿宋_GB2312" w:eastAsia="仿宋_GB2312" w:hAnsi="仿宋_GB2312" w:cs="仿宋_GB2312"/>
          <w:color w:val="000000" w:themeColor="text1"/>
        </w:rPr>
      </w:pP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2.托费报销</w:t>
      </w:r>
      <w:r w:rsidR="001B499F">
        <w:rPr>
          <w:rFonts w:ascii="仿宋_GB2312" w:eastAsia="仿宋_GB2312" w:hAnsi="仿宋_GB2312" w:cs="仿宋_GB2312"/>
          <w:color w:val="000000" w:themeColor="text1"/>
          <w:sz w:val="24"/>
          <w:szCs w:val="24"/>
        </w:rPr>
        <w:pict>
          <v:shape id="_x0000_s1057" type="#_x0000_t202" style="position:absolute;left:0;text-align:left;margin-left:338.85pt;margin-top:17.15pt;width:87.75pt;height:58.05pt;z-index:251632128;mso-position-horizontal-relative:text;mso-position-vertical-relative:text;mso-width-relative:page;mso-height-relative:page" o:gfxdata="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bzNErZAAAACgEAAA8AAAAAAAAAAQAgAAAAIgAAAGRycy9kb3ducmV2Lnht&#10;bFBLAQIUABQAAAAIAIdO4kDV1FqnMQIAAFQEAAAOAAAAAAAAAAEAIAAAACgBAABkcnMvZTJvRG9j&#10;LnhtbFBLBQYAAAAABgAGAFkBAADLBQAAAAA=&#10;">
            <v:textbox>
              <w:txbxContent>
                <w:p w:rsidR="00E37845" w:rsidRDefault="00E22BDD">
                  <w:pPr>
                    <w:pStyle w:val="30"/>
                    <w:rPr>
                      <w:rFonts w:ascii="仿宋_GB2312" w:eastAsia="仿宋_GB2312"/>
                      <w:sz w:val="21"/>
                      <w:szCs w:val="21"/>
                    </w:rPr>
                  </w:pPr>
                  <w:r>
                    <w:rPr>
                      <w:rFonts w:ascii="仿宋_GB2312" w:eastAsia="仿宋_GB2312" w:hint="eastAsia"/>
                      <w:sz w:val="21"/>
                      <w:szCs w:val="21"/>
                    </w:rPr>
                    <w:t>财务处报销</w:t>
                  </w:r>
                </w:p>
              </w:txbxContent>
            </v:textbox>
          </v:shape>
        </w:pict>
      </w:r>
      <w:r w:rsidR="001B499F">
        <w:rPr>
          <w:rFonts w:ascii="仿宋_GB2312" w:eastAsia="仿宋_GB2312" w:hAnsi="仿宋_GB2312" w:cs="仿宋_GB2312"/>
          <w:color w:val="000000" w:themeColor="text1"/>
          <w:sz w:val="24"/>
          <w:szCs w:val="24"/>
        </w:rPr>
        <w:pict>
          <v:shape id="_x0000_s1058" type="#_x0000_t202" style="position:absolute;left:0;text-align:left;margin-left:12.55pt;margin-top:17.15pt;width:87.85pt;height:68.65pt;z-index:251629056;mso-position-horizontal-relative:text;mso-position-vertical-relative:text;mso-width-relative:page;mso-height-relative:page" o:gfxdata="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yC1pnXAAAACQEAAA8AAAAAAAAAAQAgAAAAIgAAAGRycy9kb3ducmV2Lnht&#10;bFBLAQIUABQAAAAIAIdO4kDPsEwwMwIAAFQEAAAOAAAAAAAAAAEAIAAAACYBAABkcnMvZTJvRG9j&#10;LnhtbFBLBQYAAAAABgAGAFkBAADLBQAAAAA=&#10;">
            <v:textbox>
              <w:txbxContent>
                <w:p w:rsidR="00E37845" w:rsidRDefault="00E22BDD">
                  <w:pPr>
                    <w:pStyle w:val="21"/>
                    <w:spacing w:line="300" w:lineRule="exact"/>
                    <w:rPr>
                      <w:rFonts w:ascii="仿宋_GB2312" w:eastAsia="仿宋_GB2312"/>
                    </w:rPr>
                  </w:pPr>
                  <w:r>
                    <w:rPr>
                      <w:rFonts w:ascii="仿宋_GB2312" w:eastAsia="仿宋_GB2312" w:hint="eastAsia"/>
                    </w:rPr>
                    <w:t>财务处或劳资科领《广州大学原始凭证汇总单》</w:t>
                  </w:r>
                </w:p>
              </w:txbxContent>
            </v:textbox>
          </v:shape>
        </w:pict>
      </w:r>
      <w:r w:rsidR="001B499F">
        <w:rPr>
          <w:rFonts w:ascii="仿宋_GB2312" w:eastAsia="仿宋_GB2312" w:hAnsi="仿宋_GB2312" w:cs="仿宋_GB2312"/>
          <w:color w:val="000000" w:themeColor="text1"/>
          <w:sz w:val="24"/>
          <w:szCs w:val="24"/>
        </w:rPr>
        <w:pict>
          <v:shape id="_x0000_s1059" type="#_x0000_t202" style="position:absolute;left:0;text-align:left;margin-left:125.5pt;margin-top:17.15pt;width:87.85pt;height:58.05pt;z-index:251630080;mso-position-horizontal-relative:text;mso-position-vertical-relative:text;mso-width-relative:page;mso-height-relative:page" o:gfxdata="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SJMo9kAAAAKAQAADwAAAAAAAAABACAAAAAiAAAAZHJzL2Rvd25yZXYu&#10;eG1sUEsBAhQAFAAAAAgAh07iQEUbUkgzAgAAVAQAAA4AAAAAAAAAAQAgAAAAKAEAAGRycy9lMm9E&#10;b2MueG1sUEsFBgAAAAAGAAYAWQEAAM0FAAAAAA==&#10;">
            <v:textbox>
              <w:txbxContent>
                <w:p w:rsidR="00E37845" w:rsidRDefault="00E22BDD">
                  <w:pPr>
                    <w:spacing w:line="300" w:lineRule="exact"/>
                    <w:rPr>
                      <w:rFonts w:ascii="仿宋_GB2312" w:eastAsia="仿宋_GB2312"/>
                      <w:color w:val="FF0000"/>
                    </w:rPr>
                  </w:pPr>
                  <w:r>
                    <w:rPr>
                      <w:rFonts w:ascii="仿宋_GB2312" w:eastAsia="仿宋_GB2312" w:hint="eastAsia"/>
                    </w:rPr>
                    <w:t>个人准备票据、填写汇总单</w:t>
                  </w:r>
                  <w:r>
                    <w:rPr>
                      <w:rFonts w:ascii="仿宋_GB2312" w:eastAsia="仿宋_GB2312" w:hint="eastAsia"/>
                      <w:color w:val="FF0000"/>
                    </w:rPr>
                    <w:t>(金额不填)</w:t>
                  </w:r>
                </w:p>
              </w:txbxContent>
            </v:textbox>
          </v:shape>
        </w:pict>
      </w:r>
      <w:r w:rsidR="001B499F">
        <w:rPr>
          <w:rFonts w:ascii="仿宋_GB2312" w:eastAsia="仿宋_GB2312" w:hAnsi="仿宋_GB2312" w:cs="仿宋_GB2312"/>
          <w:color w:val="000000" w:themeColor="text1"/>
          <w:sz w:val="24"/>
          <w:szCs w:val="24"/>
        </w:rPr>
        <w:pict>
          <v:shape id="_x0000_s1060" type="#_x0000_t202" style="position:absolute;left:0;text-align:left;margin-left:238.45pt;margin-top:17.15pt;width:75.3pt;height:58.05pt;z-index:251631104;mso-position-horizontal-relative:text;mso-position-vertical-relative:text;mso-width-relative:page;mso-height-relative:page" o:gfxdata="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EEcSa2gAAAAoBAAAPAAAAAAAAAAEAIAAAACIAAABkcnMvZG93bnJldi54&#10;bWxQSwECFAAUAAAACACHTuJAKu9FZzECAABTBAAADgAAAAAAAAABACAAAAApAQAAZHJzL2Uyb0Rv&#10;Yy54bWxQSwUGAAAAAAYABgBZAQAAzAUAAAAA&#10;">
            <v:textbox>
              <w:txbxContent>
                <w:p w:rsidR="00E37845" w:rsidRDefault="00E22BDD">
                  <w:pPr>
                    <w:pStyle w:val="30"/>
                    <w:spacing w:line="300" w:lineRule="exact"/>
                    <w:rPr>
                      <w:rFonts w:ascii="仿宋_GB2312" w:eastAsia="仿宋_GB2312"/>
                      <w:sz w:val="21"/>
                      <w:szCs w:val="21"/>
                    </w:rPr>
                  </w:pPr>
                  <w:r>
                    <w:rPr>
                      <w:rFonts w:ascii="仿宋_GB2312" w:eastAsia="仿宋_GB2312" w:hint="eastAsia"/>
                      <w:sz w:val="21"/>
                      <w:szCs w:val="21"/>
                    </w:rPr>
                    <w:t>人事处审批、登记</w:t>
                  </w:r>
                </w:p>
              </w:txbxContent>
            </v:textbox>
          </v:shape>
        </w:pict>
      </w:r>
    </w:p>
    <w:p w:rsidR="00E37845" w:rsidRDefault="001B499F">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pict>
          <v:line id="_x0000_s1061" style="position:absolute;left:0;text-align:left;z-index:251642368;mso-width-relative:page;mso-height-relative:page" from="313.75pt,13.1pt" to="338.85pt,13.1pt" o:gfxdata="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jJNALZAAAACQEAAA8AAAAAAAAAAQAgAAAAIgAAAGRycy9kb3ducmV2LnhtbFBLAQIUABQA&#10;AAAIAIdO4kD8yl057wEAAKQDAAAOAAAAAAAAAAEAIAAAACgBAABkcnMvZTJvRG9jLnhtbFBLBQYA&#10;AAAABgAGAFkBAACJBQAAAAA=&#10;">
            <v:stroke endarrow="block"/>
          </v:line>
        </w:pict>
      </w:r>
      <w:r>
        <w:rPr>
          <w:rFonts w:ascii="仿宋_GB2312" w:eastAsia="仿宋_GB2312" w:hAnsi="仿宋_GB2312" w:cs="仿宋_GB2312"/>
          <w:color w:val="000000" w:themeColor="text1"/>
          <w:sz w:val="24"/>
          <w:szCs w:val="24"/>
        </w:rPr>
        <w:pict>
          <v:line id="_x0000_s1062" style="position:absolute;left:0;text-align:left;z-index:251640320;mso-width-relative:page;mso-height-relative:page" from="100.4pt,13.1pt" to="125.5pt,13.1pt" o:gfxdata="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mpvt9gAAAAJAQAADwAAAAAAAAABACAAAAAiAAAAZHJzL2Rvd25yZXYueG1sUEsBAhQAFAAA&#10;AAgAh07iQFUfe3XvAQAApAMAAA4AAAAAAAAAAQAgAAAAJwEAAGRycy9lMm9Eb2MueG1sUEsFBgAA&#10;AAAGAAYAWQEAAIgFAAAAAA==&#10;">
            <v:stroke endarrow="block"/>
          </v:line>
        </w:pict>
      </w:r>
      <w:r>
        <w:rPr>
          <w:rFonts w:ascii="仿宋_GB2312" w:eastAsia="仿宋_GB2312" w:hAnsi="仿宋_GB2312" w:cs="仿宋_GB2312"/>
          <w:color w:val="000000" w:themeColor="text1"/>
          <w:sz w:val="24"/>
          <w:szCs w:val="24"/>
        </w:rPr>
        <w:pict>
          <v:line id="_x0000_s1063" style="position:absolute;left:0;text-align:left;z-index:251641344;mso-width-relative:page;mso-height-relative:page" from="213.35pt,13.1pt" to="238.45pt,13.1pt" o:gfxdata="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aN68g2gAAAAkBAAAPAAAAAAAAAAEAIAAAACIAAABkcnMvZG93bnJldi54bWxQSwECFAAU&#10;AAAACACHTuJADa5J+O8BAACkAwAADgAAAAAAAAABACAAAAApAQAAZHJzL2Uyb0RvYy54bWxQSwUG&#10;AAAAAAYABgBZAQAAigUAAAAA&#10;">
            <v:stroke endarrow="block"/>
          </v:line>
        </w:pict>
      </w: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360"/>
        <w:rPr>
          <w:rFonts w:ascii="仿宋_GB2312" w:eastAsia="仿宋_GB2312" w:hAnsi="仿宋_GB2312" w:cs="仿宋_GB2312"/>
          <w:color w:val="000000" w:themeColor="text1"/>
          <w:sz w:val="18"/>
          <w:szCs w:val="18"/>
        </w:rPr>
      </w:pPr>
    </w:p>
    <w:p w:rsidR="00E37845" w:rsidRDefault="001B499F">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pict>
          <v:shape id="_x0000_s1064" type="#_x0000_t202" style="position:absolute;left:0;text-align:left;margin-left:125.5pt;margin-top:21.6pt;width:124pt;height:68.4pt;z-index:251634176;mso-width-relative:page;mso-height-relative:page" o:gfxdata="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ge/di2QAAAAoBAAAPAAAAAAAAAAEAIAAAACIAAABkcnMvZG93bnJl&#10;di54bWxQSwECFAAUAAAACACHTuJAug85qjUCAABVBAAADgAAAAAAAAABACAAAAAoAQAAZHJzL2Uy&#10;b0RvYy54bWxQSwUGAAAAAAYABgBZAQAAzwUAAAAA&#10;">
            <v:textbox>
              <w:txbxContent>
                <w:p w:rsidR="00E37845" w:rsidRDefault="00E22BDD">
                  <w:pPr>
                    <w:spacing w:line="300" w:lineRule="exact"/>
                    <w:rPr>
                      <w:rFonts w:ascii="仿宋_GB2312" w:eastAsia="仿宋_GB2312"/>
                      <w:color w:val="FF0000"/>
                      <w:spacing w:val="-11"/>
                    </w:rPr>
                  </w:pPr>
                  <w:r>
                    <w:rPr>
                      <w:rFonts w:ascii="仿宋_GB2312" w:eastAsia="仿宋_GB2312" w:hint="eastAsia"/>
                      <w:spacing w:val="-11"/>
                    </w:rPr>
                    <w:t>部门经办人填制《签领表》</w:t>
                  </w:r>
                  <w:r>
                    <w:rPr>
                      <w:rFonts w:ascii="仿宋_GB2312" w:eastAsia="仿宋_GB2312" w:hint="eastAsia"/>
                      <w:color w:val="FF0000"/>
                      <w:spacing w:val="-11"/>
                    </w:rPr>
                    <w:t>(金额不填)</w:t>
                  </w:r>
                  <w:r>
                    <w:rPr>
                      <w:rFonts w:ascii="仿宋_GB2312" w:eastAsia="仿宋_GB2312" w:hint="eastAsia"/>
                      <w:spacing w:val="-11"/>
                    </w:rPr>
                    <w:t>、提供住院手术证明材料、签名，部门福利负责人签名确认。</w:t>
                  </w:r>
                </w:p>
              </w:txbxContent>
            </v:textbox>
          </v:shape>
        </w:pict>
      </w:r>
      <w:r>
        <w:rPr>
          <w:rFonts w:ascii="仿宋_GB2312" w:eastAsia="仿宋_GB2312" w:hAnsi="仿宋_GB2312" w:cs="仿宋_GB2312"/>
          <w:color w:val="000000" w:themeColor="text1"/>
          <w:sz w:val="24"/>
          <w:szCs w:val="24"/>
        </w:rPr>
        <w:pict>
          <v:shape id="_x0000_s1065" type="#_x0000_t202" style="position:absolute;left:0;text-align:left;margin-left:351.4pt;margin-top:22.8pt;width:75.2pt;height:58.05pt;z-index:251636224;mso-width-relative:page;mso-height-relative:page" o:gfxdata="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pKcXZAAAACgEAAA8AAAAAAAAAAQAgAAAAIgAAAGRycy9kb3ducmV2Lnht&#10;bFBLAQIUABQAAAAIAIdO4kBf7uW7MQIAAFMEAAAOAAAAAAAAAAEAIAAAACgBAABkcnMvZTJvRG9j&#10;LnhtbFBLBQYAAAAABgAGAFkBAADLBQAAAAA=&#10;">
            <v:textbox>
              <w:txbxContent>
                <w:p w:rsidR="00E37845" w:rsidRDefault="00E22BDD">
                  <w:pPr>
                    <w:pStyle w:val="30"/>
                    <w:rPr>
                      <w:rFonts w:ascii="仿宋_GB2312" w:eastAsia="仿宋_GB2312"/>
                      <w:sz w:val="21"/>
                      <w:szCs w:val="21"/>
                    </w:rPr>
                  </w:pPr>
                  <w:r>
                    <w:rPr>
                      <w:rFonts w:ascii="仿宋_GB2312" w:eastAsia="仿宋_GB2312" w:hint="eastAsia"/>
                      <w:sz w:val="21"/>
                      <w:szCs w:val="21"/>
                    </w:rPr>
                    <w:t>财务处报销</w:t>
                  </w:r>
                </w:p>
              </w:txbxContent>
            </v:textbox>
          </v:shape>
        </w:pict>
      </w:r>
      <w:r>
        <w:rPr>
          <w:rFonts w:ascii="仿宋_GB2312" w:eastAsia="仿宋_GB2312" w:hAnsi="仿宋_GB2312" w:cs="仿宋_GB2312"/>
          <w:color w:val="000000" w:themeColor="text1"/>
          <w:sz w:val="24"/>
          <w:szCs w:val="24"/>
        </w:rPr>
        <w:pict>
          <v:shape id="_x0000_s1066" type="#_x0000_t202" style="position:absolute;left:0;text-align:left;margin-left:12.55pt;margin-top:22.8pt;width:100.4pt;height:55.2pt;z-index:251633152;mso-width-relative:page;mso-height-relative:page" o:gfxdata="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Umch3ZAAAACQEAAA8AAAAAAAAAAQAgAAAAIgAAAGRycy9kb3ducmV2&#10;LnhtbFBLAQIUABQAAAAIAIdO4kC60YAbNAIAAFQEAAAOAAAAAAAAAAEAIAAAACgBAABkcnMvZTJv&#10;RG9jLnhtbFBLBQYAAAAABgAGAFkBAADOBQAAAAA=&#10;">
            <v:textbox>
              <w:txbxContent>
                <w:p w:rsidR="00E37845" w:rsidRDefault="00E22BDD">
                  <w:pPr>
                    <w:pStyle w:val="21"/>
                    <w:spacing w:line="300" w:lineRule="exact"/>
                    <w:rPr>
                      <w:rFonts w:ascii="仿宋_GB2312" w:eastAsia="仿宋_GB2312"/>
                    </w:rPr>
                  </w:pPr>
                  <w:r>
                    <w:rPr>
                      <w:rFonts w:ascii="仿宋_GB2312" w:eastAsia="仿宋_GB2312" w:hint="eastAsia"/>
                    </w:rPr>
                    <w:t>教职工住院或住院手术，所在部门去慰问</w:t>
                  </w:r>
                </w:p>
              </w:txbxContent>
            </v:textbox>
          </v:shape>
        </w:pict>
      </w:r>
      <w:r>
        <w:rPr>
          <w:rFonts w:ascii="仿宋_GB2312" w:eastAsia="仿宋_GB2312" w:hAnsi="仿宋_GB2312" w:cs="仿宋_GB2312"/>
          <w:color w:val="000000" w:themeColor="text1"/>
          <w:sz w:val="24"/>
          <w:szCs w:val="24"/>
        </w:rPr>
        <w:pict>
          <v:shape id="_x0000_s1067" type="#_x0000_t202" style="position:absolute;left:0;text-align:left;margin-left:263.55pt;margin-top:22.8pt;width:75.3pt;height:58.05pt;z-index:251635200;mso-width-relative:page;mso-height-relative:page" o:gfxdata="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jX08dkAAAAKAQAADwAAAAAAAAABACAAAAAiAAAAZHJzL2Rvd25yZXYueG1s&#10;UEsBAhQAFAAAAAgAh07iQCyrGeIwAgAAUwQAAA4AAAAAAAAAAQAgAAAAKAEAAGRycy9lMm9Eb2Mu&#10;eG1sUEsFBgAAAAAGAAYAWQEAAMoFAAAAAA==&#10;">
            <v:textbox>
              <w:txbxContent>
                <w:p w:rsidR="00E37845" w:rsidRDefault="00E22BDD">
                  <w:pPr>
                    <w:pStyle w:val="30"/>
                    <w:spacing w:line="300" w:lineRule="exact"/>
                    <w:rPr>
                      <w:rFonts w:ascii="仿宋_GB2312" w:eastAsia="仿宋_GB2312"/>
                      <w:sz w:val="21"/>
                      <w:szCs w:val="21"/>
                    </w:rPr>
                  </w:pPr>
                  <w:r>
                    <w:rPr>
                      <w:rFonts w:ascii="仿宋_GB2312" w:eastAsia="仿宋_GB2312" w:hint="eastAsia"/>
                      <w:sz w:val="21"/>
                      <w:szCs w:val="21"/>
                    </w:rPr>
                    <w:t>人事处审批、登记</w:t>
                  </w:r>
                </w:p>
              </w:txbxContent>
            </v:textbox>
          </v:shape>
        </w:pict>
      </w:r>
      <w:r w:rsidR="00E22BDD">
        <w:rPr>
          <w:rFonts w:ascii="仿宋_GB2312" w:eastAsia="仿宋_GB2312" w:hAnsi="仿宋_GB2312" w:cs="仿宋_GB2312"/>
          <w:color w:val="000000" w:themeColor="text1"/>
          <w:sz w:val="24"/>
          <w:szCs w:val="24"/>
        </w:rPr>
        <w:t>3.因伤病住院或手术</w:t>
      </w:r>
    </w:p>
    <w:p w:rsidR="00E37845" w:rsidRDefault="001B499F">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pict>
          <v:line id="_x0000_s1068" style="position:absolute;left:0;text-align:left;z-index:251645440;mso-width-relative:page;mso-height-relative:page" from="338.85pt,18.75pt" to="351.4pt,18.75pt" o:gfxdata="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cOCNdkAAAAJAQAADwAAAAAAAAABACAAAAAiAAAAZHJzL2Rvd25yZXYueG1sUEsBAhQAFAAA&#10;AAgAh07iQNtv9uruAQAApAMAAA4AAAAAAAAAAQAgAAAAKAEAAGRycy9lMm9Eb2MueG1sUEsFBgAA&#10;AAAGAAYAWQEAAIgFAAAAAA==&#10;">
            <v:stroke endarrow="block"/>
          </v:line>
        </w:pict>
      </w:r>
      <w:r>
        <w:rPr>
          <w:rFonts w:ascii="仿宋_GB2312" w:eastAsia="仿宋_GB2312" w:hAnsi="仿宋_GB2312" w:cs="仿宋_GB2312"/>
          <w:color w:val="000000" w:themeColor="text1"/>
          <w:sz w:val="24"/>
          <w:szCs w:val="24"/>
        </w:rPr>
        <w:pict>
          <v:line id="_x0000_s1069" style="position:absolute;left:0;text-align:left;z-index:251644416;mso-width-relative:page;mso-height-relative:page" from="251pt,18.75pt" to="263.55pt,18.75pt" o:gfxdata="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YAjqdkAAAAJAQAADwAAAAAAAAABACAAAAAiAAAAZHJzL2Rvd25yZXYueG1sUEsBAhQAFAAA&#10;AAgAh07iQIPexGfuAQAApAMAAA4AAAAAAAAAAQAgAAAAKAEAAGRycy9lMm9Eb2MueG1sUEsFBgAA&#10;AAAGAAYAWQEAAIgFAAAAAA==&#10;">
            <v:stroke endarrow="block"/>
          </v:line>
        </w:pict>
      </w:r>
      <w:r>
        <w:rPr>
          <w:rFonts w:ascii="仿宋_GB2312" w:eastAsia="仿宋_GB2312" w:hAnsi="仿宋_GB2312" w:cs="仿宋_GB2312"/>
          <w:color w:val="000000" w:themeColor="text1"/>
          <w:sz w:val="24"/>
          <w:szCs w:val="24"/>
        </w:rPr>
        <w:pict>
          <v:line id="_x0000_s1070" style="position:absolute;left:0;text-align:left;z-index:251643392;mso-width-relative:page;mso-height-relative:page" from="112.95pt,18.75pt" to="125.5pt,18.75pt" o:gfxdata="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hzCw9kAAAAJAQAADwAAAAAAAAABACAAAAAiAAAAZHJzL2Rvd25yZXYueG1sUEsBAhQAFAAA&#10;AAgAh07iQM9bCMDuAQAApAMAAA4AAAAAAAAAAQAgAAAAKAEAAGRycy9lMm9Eb2MueG1sUEsFBgAA&#10;AAAGAAYAWQEAAIgFAAAAAA==&#10;">
            <v:stroke endarrow="block"/>
          </v:line>
        </w:pict>
      </w: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4.生活困难补助申请</w:t>
      </w:r>
    </w:p>
    <w:p w:rsidR="00E37845" w:rsidRDefault="001B499F">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pict>
          <v:shape id="_x0000_s1071" type="#_x0000_t202" style="position:absolute;left:0;text-align:left;margin-left:175.7pt;margin-top:2.25pt;width:112.95pt;height:83.55pt;z-index:251647488;mso-width-relative:page;mso-height-relative:page" o:gfxdata="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Tj+U9gAAAAJAQAADwAAAAAAAAABACAAAAAiAAAAZHJzL2Rvd25yZXYu&#10;eG1sUEsBAhQAFAAAAAgAh07iQJNPLH80AgAAVQQAAA4AAAAAAAAAAQAgAAAAJwEAAGRycy9lMm9E&#10;b2MueG1sUEsFBgAAAAAGAAYAWQEAAM0FAAAAAA==&#10;">
            <v:textbox>
              <w:txbxContent>
                <w:p w:rsidR="00E37845" w:rsidRDefault="00E22BDD">
                  <w:pPr>
                    <w:pStyle w:val="30"/>
                    <w:spacing w:line="340" w:lineRule="exact"/>
                    <w:rPr>
                      <w:rFonts w:ascii="仿宋_GB2312" w:eastAsia="仿宋_GB2312"/>
                      <w:sz w:val="21"/>
                      <w:szCs w:val="21"/>
                    </w:rPr>
                  </w:pPr>
                  <w:r>
                    <w:rPr>
                      <w:rFonts w:ascii="仿宋_GB2312" w:eastAsia="仿宋_GB2312" w:hint="eastAsia"/>
                      <w:sz w:val="21"/>
                      <w:szCs w:val="21"/>
                    </w:rPr>
                    <w:t>学校福利工作小组讨论，研究是否给予补助。</w:t>
                  </w:r>
                </w:p>
              </w:txbxContent>
            </v:textbox>
          </v:shape>
        </w:pict>
      </w:r>
      <w:r>
        <w:rPr>
          <w:rFonts w:ascii="仿宋_GB2312" w:eastAsia="仿宋_GB2312" w:hAnsi="仿宋_GB2312" w:cs="仿宋_GB2312"/>
          <w:color w:val="000000" w:themeColor="text1"/>
          <w:sz w:val="24"/>
          <w:szCs w:val="24"/>
        </w:rPr>
        <w:pict>
          <v:shape id="_x0000_s1072" type="#_x0000_t202" style="position:absolute;left:0;text-align:left;margin-left:12.55pt;margin-top:2.25pt;width:138.05pt;height:83.55pt;z-index:251646464;mso-width-relative:page;mso-height-relative:page" o:gfxdata="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lQu/NgAAAAIAQAADwAAAAAAAAABACAAAAAiAAAAZHJzL2Rvd25yZXYu&#10;eG1sUEsBAhQAFAAAAAgAh07iQKoOIQw0AgAAVQQAAA4AAAAAAAAAAQAgAAAAJwEAAGRycy9lMm9E&#10;b2MueG1sUEsFBgAAAAAGAAYAWQEAAM0FAAAAAA==&#10;">
            <v:textbox>
              <w:txbxContent>
                <w:p w:rsidR="00E37845" w:rsidRDefault="00E22BDD">
                  <w:pPr>
                    <w:pStyle w:val="21"/>
                    <w:spacing w:line="300" w:lineRule="exact"/>
                    <w:rPr>
                      <w:rFonts w:ascii="仿宋_GB2312" w:eastAsia="仿宋_GB2312"/>
                    </w:rPr>
                  </w:pPr>
                  <w:r>
                    <w:rPr>
                      <w:rFonts w:ascii="仿宋_GB2312" w:eastAsia="仿宋_GB2312" w:hint="eastAsia"/>
                    </w:rPr>
                    <w:t>个人写申请、填写《广州大学教职工生活困难补助申请表》，所在部门福利小组加注意见，然后报校工会及人事处。</w:t>
                  </w:r>
                </w:p>
              </w:txbxContent>
            </v:textbox>
          </v:shape>
        </w:pict>
      </w:r>
      <w:r>
        <w:rPr>
          <w:rFonts w:ascii="仿宋_GB2312" w:eastAsia="仿宋_GB2312" w:hAnsi="仿宋_GB2312" w:cs="仿宋_GB2312"/>
          <w:color w:val="000000" w:themeColor="text1"/>
          <w:sz w:val="24"/>
          <w:szCs w:val="24"/>
        </w:rPr>
        <w:pict>
          <v:shape id="_x0000_s1073" type="#_x0000_t202" style="position:absolute;left:0;text-align:left;margin-left:313.75pt;margin-top:2.25pt;width:112.95pt;height:81.75pt;z-index:251648512;mso-width-relative:page;mso-height-relative:page" o:gfxdata="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Mm+ibYAAAACQEAAA8AAAAAAAAAAQAgAAAAIgAAAGRycy9kb3ducmV2&#10;LnhtbFBLAQIUABQAAAAIAIdO4kAL26BbNQIAAFUEAAAOAAAAAAAAAAEAIAAAACcBAABkcnMvZTJv&#10;RG9jLnhtbFBLBQYAAAAABgAGAFkBAADOBQAAAAA=&#10;">
            <v:textbox>
              <w:txbxContent>
                <w:p w:rsidR="00E37845" w:rsidRDefault="00E22BDD">
                  <w:pPr>
                    <w:pStyle w:val="30"/>
                    <w:spacing w:line="300" w:lineRule="exact"/>
                    <w:rPr>
                      <w:rFonts w:ascii="仿宋_GB2312" w:eastAsia="仿宋_GB2312"/>
                      <w:sz w:val="21"/>
                      <w:szCs w:val="21"/>
                    </w:rPr>
                  </w:pPr>
                  <w:r>
                    <w:rPr>
                      <w:rFonts w:ascii="仿宋_GB2312" w:eastAsia="仿宋_GB2312" w:hint="eastAsia"/>
                      <w:sz w:val="21"/>
                      <w:szCs w:val="21"/>
                    </w:rPr>
                    <w:t>研究同意，到薪酬管理科领回表单，到财务处领补助金。</w:t>
                  </w:r>
                </w:p>
              </w:txbxContent>
            </v:textbox>
          </v:shape>
        </w:pict>
      </w:r>
    </w:p>
    <w:p w:rsidR="00E37845" w:rsidRDefault="001B499F">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pict>
          <v:line id="_x0000_s1074" style="position:absolute;left:0;text-align:left;z-index:251650560;mso-width-relative:page;mso-height-relative:page" from="288.65pt,13.65pt" to="313.75pt,13.65pt" o:gfxdata="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ZDpVDZAAAACQEAAA8AAAAAAAAAAQAgAAAAIgAAAGRycy9kb3ducmV2LnhtbFBLAQIUABQA&#10;AAAIAIdO4kBwXwuI7wEAAKQDAAAOAAAAAAAAAAEAIAAAACgBAABkcnMvZTJvRG9jLnhtbFBLBQYA&#10;AAAABgAGAFkBAACJBQAAAAA=&#10;">
            <v:stroke endarrow="block"/>
          </v:line>
        </w:pict>
      </w:r>
      <w:r>
        <w:rPr>
          <w:rFonts w:ascii="仿宋_GB2312" w:eastAsia="仿宋_GB2312" w:hAnsi="仿宋_GB2312" w:cs="仿宋_GB2312"/>
          <w:color w:val="000000" w:themeColor="text1"/>
          <w:sz w:val="24"/>
          <w:szCs w:val="24"/>
        </w:rPr>
        <w:pict>
          <v:line id="_x0000_s1075" style="position:absolute;left:0;text-align:left;z-index:251649536;mso-width-relative:page;mso-height-relative:page" from="150.6pt,13.65pt" to="175.7pt,13.65pt" o:gfxdata="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MMxFnZAAAACQEAAA8AAAAAAAAAAQAgAAAAIgAAAGRycy9kb3ducmV2LnhtbFBLAQIUABQA&#10;AAAIAIdO4kAo7jkF7wEAAKQDAAAOAAAAAAAAAAEAIAAAACgBAABkcnMvZTJvRG9jLnhtbFBLBQYA&#10;AAAABgAGAFkBAACJBQAAAAA=&#10;">
            <v:stroke endarrow="block"/>
          </v:line>
        </w:pict>
      </w: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1B499F">
      <w:pPr>
        <w:adjustRightInd w:val="0"/>
        <w:snapToGrid w:val="0"/>
        <w:spacing w:line="360" w:lineRule="auto"/>
        <w:ind w:firstLineChars="200" w:firstLine="160"/>
        <w:rPr>
          <w:rFonts w:ascii="仿宋_GB2312" w:eastAsia="仿宋_GB2312" w:hAnsi="仿宋_GB2312" w:cs="仿宋_GB2312"/>
          <w:color w:val="000000" w:themeColor="text1"/>
          <w:sz w:val="8"/>
          <w:szCs w:val="8"/>
        </w:rPr>
      </w:pPr>
      <w:r>
        <w:rPr>
          <w:rFonts w:ascii="仿宋_GB2312" w:eastAsia="仿宋_GB2312" w:hAnsi="仿宋_GB2312" w:cs="仿宋_GB2312"/>
          <w:color w:val="000000" w:themeColor="text1"/>
          <w:sz w:val="8"/>
          <w:szCs w:val="8"/>
        </w:rPr>
        <w:pict>
          <v:shape id="_x0000_s1076" type="#_x0000_t202" style="position:absolute;left:0;text-align:left;margin-left:12.6pt;margin-top:38.9pt;width:112.35pt;height:55.2pt;z-index:251651584;mso-width-relative:page;mso-height-relative:page" o:gfxdata="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kRL7NgAAAAJAQAADwAAAAAAAAABACAAAAAiAAAAZHJzL2Rvd25yZXYu&#10;eG1sUEsBAhQAFAAAAAgAh07iQJE8IU80AgAAVAQAAA4AAAAAAAAAAQAgAAAAJwEAAGRycy9lMm9E&#10;b2MueG1sUEsFBgAAAAAGAAYAWQEAAM0FAAAAAA==&#10;">
            <v:textbox>
              <w:txbxContent>
                <w:p w:rsidR="00E37845" w:rsidRDefault="00E22BDD">
                  <w:pPr>
                    <w:pStyle w:val="21"/>
                    <w:spacing w:line="300" w:lineRule="exact"/>
                    <w:rPr>
                      <w:rFonts w:ascii="仿宋_GB2312" w:eastAsia="仿宋_GB2312"/>
                    </w:rPr>
                  </w:pPr>
                  <w:r>
                    <w:rPr>
                      <w:rFonts w:ascii="仿宋_GB2312" w:eastAsia="仿宋_GB2312" w:hAnsi="宋体" w:hint="eastAsia"/>
                    </w:rPr>
                    <w:t>教职工、教职工供养的直系亲属去世</w:t>
                  </w:r>
                  <w:r>
                    <w:rPr>
                      <w:rFonts w:ascii="仿宋_GB2312" w:eastAsia="仿宋_GB2312" w:hint="eastAsia"/>
                    </w:rPr>
                    <w:t>，所在部门确认</w:t>
                  </w:r>
                </w:p>
              </w:txbxContent>
            </v:textbox>
          </v:shape>
        </w:pict>
      </w:r>
      <w:r>
        <w:rPr>
          <w:rFonts w:ascii="仿宋_GB2312" w:eastAsia="仿宋_GB2312" w:hAnsi="仿宋_GB2312" w:cs="仿宋_GB2312"/>
          <w:color w:val="000000" w:themeColor="text1"/>
          <w:sz w:val="24"/>
          <w:szCs w:val="24"/>
        </w:rPr>
        <w:pict>
          <v:shape id="_x0000_s1077" type="#_x0000_t202" style="position:absolute;left:0;text-align:left;margin-left:275.55pt;margin-top:34pt;width:75.3pt;height:58.05pt;z-index:251653632;mso-width-relative:page;mso-height-relative:page" o:gfxdata="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oma6NgAAAAKAQAADwAAAAAAAAABACAAAAAiAAAAZHJzL2Rvd25yZXYueG1s&#10;UEsBAhQAFAAAAAgAh07iQEopnZoxAgAAUwQAAA4AAAAAAAAAAQAgAAAAJwEAAGRycy9lMm9Eb2Mu&#10;eG1sUEsFBgAAAAAGAAYAWQEAAMoFAAAAAA==&#10;">
            <v:textbox>
              <w:txbxContent>
                <w:p w:rsidR="00E37845" w:rsidRDefault="00E22BDD">
                  <w:pPr>
                    <w:pStyle w:val="30"/>
                    <w:spacing w:line="300" w:lineRule="exact"/>
                    <w:rPr>
                      <w:rFonts w:ascii="仿宋_GB2312" w:eastAsia="仿宋_GB2312"/>
                      <w:sz w:val="21"/>
                      <w:szCs w:val="21"/>
                    </w:rPr>
                  </w:pPr>
                  <w:r>
                    <w:rPr>
                      <w:rFonts w:ascii="仿宋_GB2312" w:eastAsia="仿宋_GB2312" w:hint="eastAsia"/>
                      <w:sz w:val="21"/>
                      <w:szCs w:val="21"/>
                    </w:rPr>
                    <w:t>人事处审批、登记</w:t>
                  </w:r>
                </w:p>
              </w:txbxContent>
            </v:textbox>
          </v:shape>
        </w:pict>
      </w:r>
      <w:r>
        <w:rPr>
          <w:rFonts w:ascii="仿宋_GB2312" w:eastAsia="仿宋_GB2312" w:hAnsi="仿宋_GB2312" w:cs="仿宋_GB2312"/>
          <w:color w:val="000000" w:themeColor="text1"/>
          <w:sz w:val="8"/>
          <w:szCs w:val="8"/>
        </w:rPr>
        <w:pict>
          <v:shape id="_x0000_s1078" type="#_x0000_t202" style="position:absolute;left:0;text-align:left;margin-left:363.4pt;margin-top:35.9pt;width:63.2pt;height:58.05pt;z-index:251654656;mso-width-relative:page;mso-height-relative:page" o:gfxdata="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UiUhDYAAAACgEAAA8AAAAAAAAAAQAgAAAAIgAAAGRycy9kb3ducmV2Lnht&#10;bFBLAQIUABQAAAAIAIdO4kA40xyHMgIAAFMEAAAOAAAAAAAAAAEAIAAAACcBAABkcnMvZTJvRG9j&#10;LnhtbFBLBQYAAAAABgAGAFkBAADLBQAAAAA=&#10;">
            <v:textbox>
              <w:txbxContent>
                <w:p w:rsidR="00E37845" w:rsidRDefault="00E22BDD">
                  <w:pPr>
                    <w:pStyle w:val="30"/>
                    <w:spacing w:line="300" w:lineRule="exact"/>
                    <w:rPr>
                      <w:rFonts w:ascii="仿宋_GB2312" w:eastAsia="仿宋_GB2312"/>
                      <w:sz w:val="21"/>
                      <w:szCs w:val="21"/>
                    </w:rPr>
                  </w:pPr>
                  <w:r>
                    <w:rPr>
                      <w:rFonts w:ascii="仿宋_GB2312" w:eastAsia="仿宋_GB2312" w:hint="eastAsia"/>
                      <w:sz w:val="21"/>
                      <w:szCs w:val="21"/>
                    </w:rPr>
                    <w:t>财务处报销</w:t>
                  </w:r>
                </w:p>
              </w:txbxContent>
            </v:textbox>
          </v:shape>
        </w:pict>
      </w:r>
      <w:r>
        <w:rPr>
          <w:rFonts w:ascii="仿宋_GB2312" w:eastAsia="仿宋_GB2312" w:hAnsi="仿宋_GB2312" w:cs="仿宋_GB2312"/>
          <w:color w:val="000000" w:themeColor="text1"/>
          <w:sz w:val="8"/>
          <w:szCs w:val="8"/>
        </w:rPr>
        <w:pict>
          <v:shape id="_x0000_s1079" type="#_x0000_t202" style="position:absolute;left:0;text-align:left;margin-left:137.5pt;margin-top:33.65pt;width:124pt;height:70.8pt;z-index:251652608;mso-width-relative:page;mso-height-relative:page" o:gfxdata="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rPxl9kAAAAKAQAADwAAAAAAAAABACAAAAAiAAAAZHJzL2Rvd25yZXYu&#10;eG1sUEsBAhQAFAAAAAgAh07iQHYe8fUzAgAAVAQAAA4AAAAAAAAAAQAgAAAAKAEAAGRycy9lMm9E&#10;b2MueG1sUEsFBgAAAAAGAAYAWQEAAM0FAAAAAA==&#10;">
            <v:textbox>
              <w:txbxContent>
                <w:p w:rsidR="00E37845" w:rsidRDefault="00E22BDD">
                  <w:pPr>
                    <w:spacing w:line="300" w:lineRule="exact"/>
                    <w:rPr>
                      <w:rFonts w:ascii="仿宋_GB2312" w:eastAsia="仿宋_GB2312"/>
                      <w:color w:val="FF0000"/>
                    </w:rPr>
                  </w:pPr>
                  <w:r>
                    <w:rPr>
                      <w:rFonts w:ascii="仿宋_GB2312" w:eastAsia="仿宋_GB2312" w:hint="eastAsia"/>
                    </w:rPr>
                    <w:t>部门经办人填制《签领表》</w:t>
                  </w:r>
                  <w:r>
                    <w:rPr>
                      <w:rFonts w:ascii="仿宋_GB2312" w:eastAsia="仿宋_GB2312" w:hint="eastAsia"/>
                      <w:color w:val="FF0000"/>
                    </w:rPr>
                    <w:t>(金额不填)</w:t>
                  </w:r>
                  <w:r>
                    <w:rPr>
                      <w:rFonts w:ascii="仿宋_GB2312" w:eastAsia="仿宋_GB2312" w:hint="eastAsia"/>
                    </w:rPr>
                    <w:t>、签名，部门福利负责人签名确认。</w:t>
                  </w:r>
                </w:p>
                <w:p w:rsidR="00E37845" w:rsidRDefault="00E37845"/>
              </w:txbxContent>
            </v:textbox>
          </v:shape>
        </w:pic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5.教职工、教职工供养的直系亲属去世慰问</w:t>
      </w: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1B499F">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pict>
          <v:line id="_x0000_s1080" style="position:absolute;left:0;text-align:left;z-index:251657728;mso-width-relative:page;mso-height-relative:page" from="350.85pt,7.15pt" to="363.4pt,7.15pt" o:gfxdata="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jxcjC2AAAAAkBAAAPAAAAAAAAAAEAIAAAACIAAABkcnMvZG93bnJldi54bWxQSwECFAAUAAAA&#10;CACHTuJA3/k2Cu4BAACkAwAADgAAAAAAAAABACAAAAAnAQAAZHJzL2Uyb0RvYy54bWxQSwUGAAAA&#10;AAYABgBZAQAAhwUAAAAA&#10;">
            <v:stroke endarrow="block"/>
          </v:line>
        </w:pict>
      </w:r>
      <w:r>
        <w:rPr>
          <w:rFonts w:ascii="仿宋_GB2312" w:eastAsia="仿宋_GB2312" w:hAnsi="仿宋_GB2312" w:cs="仿宋_GB2312"/>
          <w:color w:val="000000" w:themeColor="text1"/>
          <w:sz w:val="24"/>
          <w:szCs w:val="24"/>
        </w:rPr>
        <w:pict>
          <v:line id="_x0000_s1081" style="position:absolute;left:0;text-align:left;z-index:251656704;mso-width-relative:page;mso-height-relative:page" from="263pt,4.15pt" to="275.55pt,4.15pt" o:gfxdata="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K2y4/XAAAABwEAAA8AAAAAAAAAAQAgAAAAIgAAAGRycy9kb3ducmV2LnhtbFBLAQIUABQAAAAI&#10;AIdO4kCHSASH7gEAAKQDAAAOAAAAAAAAAAEAIAAAACYBAABkcnMvZTJvRG9jLnhtbFBLBQYAAAAA&#10;BgAGAFkBAACGBQAAAAA=&#10;">
            <v:stroke endarrow="block"/>
          </v:line>
        </w:pict>
      </w:r>
      <w:r>
        <w:rPr>
          <w:rFonts w:ascii="仿宋_GB2312" w:eastAsia="仿宋_GB2312" w:hAnsi="仿宋_GB2312" w:cs="仿宋_GB2312"/>
          <w:color w:val="000000" w:themeColor="text1"/>
          <w:sz w:val="24"/>
          <w:szCs w:val="24"/>
        </w:rPr>
        <w:pict>
          <v:line id="_x0000_s1082" style="position:absolute;left:0;text-align:left;z-index:251655680;mso-width-relative:page;mso-height-relative:page" from="124.95pt,12.4pt" to="137.5pt,12.4pt" o:gfxdata="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F7CKtkAAAAJAQAADwAAAAAAAAABACAAAAAiAAAAZHJzL2Rvd25yZXYueG1sUEsBAhQAFAAA&#10;AAgAh07iQMvNyCDuAQAApAMAAA4AAAAAAAAAAQAgAAAAKAEAAGRycy9lMm9Eb2MueG1sUEsFBgAA&#10;AAAGAAYAWQEAAIgFAAAAAA==&#10;">
            <v:stroke endarrow="block"/>
          </v:line>
        </w:pict>
      </w: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right="420" w:firstLineChars="200" w:firstLine="220"/>
        <w:jc w:val="left"/>
        <w:rPr>
          <w:rFonts w:ascii="仿宋_GB2312" w:eastAsia="仿宋_GB2312" w:hAnsi="仿宋_GB2312" w:cs="仿宋_GB2312"/>
          <w:color w:val="000000" w:themeColor="text1"/>
          <w:sz w:val="11"/>
          <w:szCs w:val="11"/>
        </w:rPr>
      </w:pPr>
    </w:p>
    <w:p w:rsidR="00E37845" w:rsidRDefault="00E22BDD">
      <w:pPr>
        <w:adjustRightInd w:val="0"/>
        <w:snapToGrid w:val="0"/>
        <w:spacing w:line="360" w:lineRule="auto"/>
        <w:ind w:right="420"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6.抚恤金、丧葬费</w:t>
      </w:r>
    </w:p>
    <w:p w:rsidR="00E37845" w:rsidRDefault="001B499F">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pict>
          <v:shape id="_x0000_s1083" type="#_x0000_t202" style="position:absolute;left:0;text-align:left;margin-left:12.6pt;margin-top:7.2pt;width:112.35pt;height:44.4pt;z-index:251670016;mso-width-relative:page;mso-height-relative:page" o:gfxdata="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RKReNgAAAAJAQAADwAAAAAAAAABACAAAAAiAAAAZHJzL2Rvd25yZXYu&#10;eG1sUEsBAhQAFAAAAAgAh07iQJXO3zk0AgAAVAQAAA4AAAAAAAAAAQAgAAAAJwEAAGRycy9lMm9E&#10;b2MueG1sUEsFBgAAAAAGAAYAWQEAAM0FAAAAAA==&#10;">
            <v:textbox>
              <w:txbxContent>
                <w:p w:rsidR="00E37845" w:rsidRDefault="00E22BDD">
                  <w:pPr>
                    <w:pStyle w:val="21"/>
                    <w:spacing w:line="300" w:lineRule="exact"/>
                    <w:rPr>
                      <w:rFonts w:ascii="仿宋_GB2312" w:eastAsia="仿宋_GB2312"/>
                    </w:rPr>
                  </w:pPr>
                  <w:r>
                    <w:rPr>
                      <w:rFonts w:ascii="仿宋_GB2312" w:eastAsia="仿宋_GB2312" w:hAnsi="宋体" w:hint="eastAsia"/>
                    </w:rPr>
                    <w:t>教职工去世</w:t>
                  </w:r>
                  <w:r>
                    <w:rPr>
                      <w:rFonts w:ascii="仿宋_GB2312" w:eastAsia="仿宋_GB2312" w:hint="eastAsia"/>
                    </w:rPr>
                    <w:t>，所在部门确认</w:t>
                  </w:r>
                </w:p>
              </w:txbxContent>
            </v:textbox>
          </v:shape>
        </w:pict>
      </w:r>
      <w:r>
        <w:rPr>
          <w:rFonts w:ascii="仿宋_GB2312" w:eastAsia="仿宋_GB2312" w:hAnsi="仿宋_GB2312" w:cs="仿宋_GB2312"/>
          <w:color w:val="000000" w:themeColor="text1"/>
          <w:sz w:val="24"/>
          <w:szCs w:val="24"/>
        </w:rPr>
        <w:pict>
          <v:shape id="_x0000_s1084" type="#_x0000_t202" style="position:absolute;left:0;text-align:left;margin-left:363.4pt;margin-top:7.2pt;width:63.2pt;height:44.7pt;z-index:251673088;mso-width-relative:page;mso-height-relative:page" o:gfxdata="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2EJbTZAAAACgEAAA8AAAAAAAAAAQAgAAAAIgAAAGRycy9kb3ducmV2&#10;LnhtbFBLAQIUABQAAAAIAIdO4kDENhdENAIAAFMEAAAOAAAAAAAAAAEAIAAAACgBAABkcnMvZTJv&#10;RG9jLnhtbFBLBQYAAAAABgAGAFkBAADOBQAAAAA=&#10;">
            <v:textbox>
              <w:txbxContent>
                <w:p w:rsidR="00E37845" w:rsidRDefault="00E22BDD">
                  <w:pPr>
                    <w:pStyle w:val="30"/>
                    <w:spacing w:line="300" w:lineRule="exact"/>
                    <w:rPr>
                      <w:rFonts w:ascii="仿宋_GB2312" w:eastAsia="仿宋_GB2312"/>
                      <w:sz w:val="21"/>
                      <w:szCs w:val="21"/>
                    </w:rPr>
                  </w:pPr>
                  <w:r>
                    <w:rPr>
                      <w:rFonts w:ascii="仿宋_GB2312" w:eastAsia="仿宋_GB2312" w:hint="eastAsia"/>
                      <w:sz w:val="21"/>
                      <w:szCs w:val="21"/>
                    </w:rPr>
                    <w:t>到财务处领取</w:t>
                  </w:r>
                </w:p>
              </w:txbxContent>
            </v:textbox>
          </v:shape>
        </w:pict>
      </w:r>
      <w:r>
        <w:rPr>
          <w:rFonts w:ascii="仿宋_GB2312" w:eastAsia="仿宋_GB2312" w:hAnsi="仿宋_GB2312" w:cs="仿宋_GB2312"/>
          <w:color w:val="000000" w:themeColor="text1"/>
          <w:sz w:val="24"/>
          <w:szCs w:val="24"/>
        </w:rPr>
        <w:pict>
          <v:line id="_x0000_s1085" style="position:absolute;left:0;text-align:left;z-index:251676160;mso-width-relative:page;mso-height-relative:page" from="350.85pt,26.55pt" to="363.4pt,26.55pt" o:gfxdata="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VrT29kAAAAJAQAADwAAAAAAAAABACAAAAAiAAAAZHJzL2Rvd25yZXYueG1sUEsBAhQAFAAA&#10;AAgAh07iQDCzo/TuAQAApAMAAA4AAAAAAAAAAQAgAAAAKAEAAGRycy9lMm9Eb2MueG1sUEsFBgAA&#10;AAAGAAYAWQEAAIgFAAAAAA==&#10;">
            <v:stroke endarrow="block"/>
          </v:line>
        </w:pict>
      </w:r>
      <w:r>
        <w:rPr>
          <w:rFonts w:ascii="仿宋_GB2312" w:eastAsia="仿宋_GB2312" w:hAnsi="仿宋_GB2312" w:cs="仿宋_GB2312"/>
          <w:color w:val="000000" w:themeColor="text1"/>
          <w:sz w:val="24"/>
          <w:szCs w:val="24"/>
        </w:rPr>
        <w:pict>
          <v:line id="_x0000_s1086" style="position:absolute;left:0;text-align:left;z-index:251675136;mso-width-relative:page;mso-height-relative:page" from="263pt,26.55pt" to="275.55pt,26.55pt" o:gfxdata="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U9sre2AAAAAkBAAAPAAAAAAAAAAEAIAAAACIAAABkcnMvZG93bnJldi54bWxQSwECFAAUAAAA&#10;CACHTuJAmWaFuO4BAACkAwAADgAAAAAAAAABACAAAAAnAQAAZHJzL2Uyb0RvYy54bWxQSwUGAAAA&#10;AAYABgBZAQAAhwUAAAAA&#10;">
            <v:stroke endarrow="block"/>
          </v:line>
        </w:pict>
      </w:r>
      <w:r>
        <w:rPr>
          <w:rFonts w:ascii="仿宋_GB2312" w:eastAsia="仿宋_GB2312" w:hAnsi="仿宋_GB2312" w:cs="仿宋_GB2312"/>
          <w:color w:val="000000" w:themeColor="text1"/>
          <w:sz w:val="24"/>
          <w:szCs w:val="24"/>
        </w:rPr>
        <w:pict>
          <v:line id="_x0000_s1087" style="position:absolute;left:0;text-align:left;z-index:251674112;mso-width-relative:page;mso-height-relative:page" from="124.95pt,26.55pt" to="137.5pt,26.55pt" o:gfxdata="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hKYu9oAAAAJAQAADwAAAAAAAAABACAAAAAiAAAAZHJzL2Rvd25yZXYueG1sUEsBAhQAFAAA&#10;AAgAh07iQMHXtzXtAQAApAMAAA4AAAAAAAAAAQAgAAAAKQEAAGRycy9lMm9Eb2MueG1sUEsFBgAA&#10;AAAGAAYAWQEAAIgFAAAAAA==&#10;">
            <v:stroke endarrow="block"/>
          </v:line>
        </w:pict>
      </w:r>
      <w:r>
        <w:rPr>
          <w:rFonts w:ascii="仿宋_GB2312" w:eastAsia="仿宋_GB2312" w:hAnsi="仿宋_GB2312" w:cs="仿宋_GB2312"/>
          <w:color w:val="000000" w:themeColor="text1"/>
          <w:sz w:val="24"/>
          <w:szCs w:val="24"/>
        </w:rPr>
        <w:pict>
          <v:shape id="_x0000_s1088" type="#_x0000_t202" style="position:absolute;left:0;text-align:left;margin-left:275.55pt;margin-top:7.2pt;width:75.3pt;height:45.55pt;z-index:251672064;mso-width-relative:page;mso-height-relative:page" o:gfxdata="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DTK/HYAAAACgEAAA8AAAAAAAAAAQAgAAAAIgAAAGRycy9kb3ducmV2Lnht&#10;bFBLAQIUABQAAAAIAIdO4kCTADUjMgIAAFMEAAAOAAAAAAAAAAEAIAAAACcBAABkcnMvZTJvRG9j&#10;LnhtbFBLBQYAAAAABgAGAFkBAADLBQAAAAA=&#10;">
            <v:textbox>
              <w:txbxContent>
                <w:p w:rsidR="00E37845" w:rsidRDefault="00E22BDD">
                  <w:pPr>
                    <w:pStyle w:val="30"/>
                    <w:spacing w:line="300" w:lineRule="exact"/>
                    <w:rPr>
                      <w:rFonts w:ascii="仿宋_GB2312" w:eastAsia="仿宋_GB2312"/>
                      <w:sz w:val="21"/>
                      <w:szCs w:val="21"/>
                    </w:rPr>
                  </w:pPr>
                  <w:r>
                    <w:rPr>
                      <w:rFonts w:ascii="仿宋_GB2312" w:eastAsia="仿宋_GB2312" w:hint="eastAsia"/>
                      <w:sz w:val="21"/>
                      <w:szCs w:val="21"/>
                    </w:rPr>
                    <w:t>人事处审批、登记</w:t>
                  </w:r>
                </w:p>
              </w:txbxContent>
            </v:textbox>
          </v:shape>
        </w:pict>
      </w:r>
      <w:r>
        <w:rPr>
          <w:rFonts w:ascii="仿宋_GB2312" w:eastAsia="仿宋_GB2312" w:hAnsi="仿宋_GB2312" w:cs="仿宋_GB2312"/>
          <w:color w:val="000000" w:themeColor="text1"/>
          <w:sz w:val="24"/>
          <w:szCs w:val="24"/>
        </w:rPr>
        <w:pict>
          <v:shape id="_x0000_s1089" type="#_x0000_t202" style="position:absolute;left:0;text-align:left;margin-left:137.5pt;margin-top:7.2pt;width:124pt;height:45.85pt;z-index:251671040;mso-width-relative:page;mso-height-relative:page" o:gfxdata="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eFcT12QAAAAoBAAAPAAAAAAAAAAEAIAAAACIAAABkcnMvZG93bnJl&#10;di54bWxQSwECFAAUAAAACACHTuJAGkHnVjUCAABUBAAADgAAAAAAAAABACAAAAAoAQAAZHJzL2Uy&#10;b0RvYy54bWxQSwUGAAAAAAYABgBZAQAAzwUAAAAA&#10;">
            <v:textbox>
              <w:txbxContent>
                <w:p w:rsidR="00E37845" w:rsidRDefault="00E22BDD">
                  <w:pPr>
                    <w:spacing w:line="300" w:lineRule="exact"/>
                    <w:rPr>
                      <w:rFonts w:ascii="仿宋_GB2312" w:eastAsia="仿宋_GB2312"/>
                      <w:color w:val="FF0000"/>
                    </w:rPr>
                  </w:pPr>
                  <w:r>
                    <w:rPr>
                      <w:rFonts w:ascii="仿宋_GB2312" w:eastAsia="仿宋_GB2312" w:hint="eastAsia"/>
                    </w:rPr>
                    <w:t>部门经办人带有关证明材料。</w:t>
                  </w:r>
                </w:p>
                <w:p w:rsidR="00E37845" w:rsidRDefault="00E37845"/>
              </w:txbxContent>
            </v:textbox>
          </v:shape>
        </w:pict>
      </w:r>
    </w:p>
    <w:p w:rsidR="00E37845" w:rsidRDefault="00E37845">
      <w:pPr>
        <w:adjustRightInd w:val="0"/>
        <w:snapToGrid w:val="0"/>
        <w:spacing w:line="360" w:lineRule="auto"/>
        <w:ind w:right="420"/>
        <w:jc w:val="left"/>
        <w:rPr>
          <w:rFonts w:ascii="仿宋_GB2312" w:eastAsia="仿宋_GB2312" w:hAnsi="仿宋_GB2312" w:cs="仿宋_GB2312"/>
          <w:color w:val="000000" w:themeColor="text1"/>
          <w:sz w:val="24"/>
          <w:szCs w:val="24"/>
        </w:rPr>
      </w:pPr>
    </w:p>
    <w:p w:rsidR="00E37845" w:rsidRDefault="00E22BDD">
      <w:pPr>
        <w:widowControl/>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br w:type="page"/>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992" w:name="_Toc22156"/>
      <w:bookmarkStart w:id="993" w:name="_Toc2869"/>
      <w:bookmarkStart w:id="994" w:name="_Toc9120"/>
      <w:bookmarkStart w:id="995" w:name="_Toc26954"/>
      <w:bookmarkStart w:id="996" w:name="_Toc31920"/>
      <w:bookmarkStart w:id="997" w:name="_Toc102"/>
      <w:bookmarkStart w:id="998" w:name="_Toc19576"/>
      <w:bookmarkStart w:id="999" w:name="_Toc24014"/>
      <w:bookmarkStart w:id="1000" w:name="_Toc14296"/>
      <w:bookmarkStart w:id="1001" w:name="_Toc12918"/>
      <w:bookmarkStart w:id="1002" w:name="_Toc31300"/>
      <w:bookmarkStart w:id="1003" w:name="_Toc28744"/>
      <w:bookmarkStart w:id="1004" w:name="_Toc2546"/>
      <w:bookmarkStart w:id="1005" w:name="_Toc8693"/>
      <w:bookmarkStart w:id="1006" w:name="_Toc4531"/>
      <w:bookmarkStart w:id="1007" w:name="_Toc5361"/>
      <w:bookmarkStart w:id="1008" w:name="_Toc13478"/>
      <w:bookmarkStart w:id="1009" w:name="_Toc5318"/>
      <w:bookmarkStart w:id="1010" w:name="_Toc8639"/>
      <w:bookmarkStart w:id="1011" w:name="_Toc1336"/>
      <w:bookmarkStart w:id="1012" w:name="_Toc22003"/>
      <w:bookmarkStart w:id="1013" w:name="_Toc16225"/>
      <w:bookmarkStart w:id="1014" w:name="_Toc26433"/>
      <w:bookmarkStart w:id="1015" w:name="_Toc17272"/>
      <w:bookmarkStart w:id="1016" w:name="_Toc29639"/>
      <w:bookmarkStart w:id="1017" w:name="_Toc27862"/>
      <w:bookmarkStart w:id="1018" w:name="_Toc12917"/>
      <w:bookmarkStart w:id="1019" w:name="_Toc16029"/>
      <w:bookmarkStart w:id="1020" w:name="_Toc519780962"/>
      <w:bookmarkStart w:id="1021" w:name="_Toc20116"/>
      <w:r>
        <w:rPr>
          <w:rFonts w:ascii="黑体" w:eastAsia="黑体" w:hAnsi="黑体" w:cs="黑体" w:hint="eastAsia"/>
          <w:color w:val="000000" w:themeColor="text1"/>
          <w:sz w:val="28"/>
          <w:szCs w:val="28"/>
        </w:rPr>
        <w:lastRenderedPageBreak/>
        <w:t>4.7教师的培训与发展</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022" w:name="_Toc3413"/>
      <w:bookmarkStart w:id="1023" w:name="_Toc2360"/>
      <w:bookmarkStart w:id="1024" w:name="_Toc24414"/>
      <w:bookmarkStart w:id="1025" w:name="_Toc14452"/>
      <w:bookmarkStart w:id="1026" w:name="_Toc31750"/>
      <w:bookmarkStart w:id="1027" w:name="_Toc32570"/>
      <w:bookmarkStart w:id="1028" w:name="_Toc29784"/>
      <w:bookmarkStart w:id="1029" w:name="_Toc11050"/>
      <w:bookmarkStart w:id="1030" w:name="_Toc6284"/>
      <w:bookmarkStart w:id="1031" w:name="_Toc12996"/>
      <w:bookmarkStart w:id="1032" w:name="_Toc24039"/>
      <w:bookmarkStart w:id="1033" w:name="_Toc22761"/>
      <w:bookmarkStart w:id="1034" w:name="_Toc24034"/>
      <w:bookmarkStart w:id="1035" w:name="_Toc13164"/>
      <w:bookmarkStart w:id="1036" w:name="_Toc17963"/>
      <w:bookmarkStart w:id="1037" w:name="_Toc19032"/>
      <w:bookmarkStart w:id="1038" w:name="_Toc519780963"/>
      <w:bookmarkStart w:id="1039" w:name="_Toc8844"/>
      <w:bookmarkStart w:id="1040" w:name="_Toc19189"/>
      <w:bookmarkStart w:id="1041" w:name="_Toc16948"/>
      <w:bookmarkStart w:id="1042" w:name="_Toc10728"/>
      <w:bookmarkStart w:id="1043" w:name="_Toc585"/>
      <w:bookmarkStart w:id="1044" w:name="_Toc10819"/>
      <w:bookmarkStart w:id="1045" w:name="_Toc26498"/>
      <w:bookmarkStart w:id="1046" w:name="_Toc1586"/>
      <w:bookmarkStart w:id="1047" w:name="_Toc4687"/>
      <w:bookmarkStart w:id="1048" w:name="_Toc18127"/>
      <w:bookmarkStart w:id="1049" w:name="_Toc22758"/>
      <w:bookmarkStart w:id="1050" w:name="_Toc17069"/>
      <w:bookmarkStart w:id="1051" w:name="_Toc26946"/>
      <w:r>
        <w:rPr>
          <w:rFonts w:ascii="黑体" w:eastAsia="黑体" w:hAnsi="黑体" w:cs="黑体" w:hint="eastAsia"/>
          <w:color w:val="000000" w:themeColor="text1"/>
          <w:sz w:val="28"/>
          <w:szCs w:val="28"/>
        </w:rPr>
        <w:t>4.7.1教师岗前培训</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sz w:val="24"/>
          <w:szCs w:val="24"/>
          <w:lang w:bidi="ar"/>
        </w:rPr>
        <w:t>凡《中华人民共和国教师法》施行（一九九四年一月一日）以后新补充到高等学校从事教育教学工作的教师或其他人员（包括从事科研、实验工作、学生思想政治工作以及党政管理工作的人员）一律要参加岗前培训。岗前培训关系到高校教师资格认定，进而与职称评审相关，新进教师应对此给予足够重视，留意学校发布的教师岗前培训通知，并报名参加。</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052" w:name="_Toc3586"/>
      <w:bookmarkStart w:id="1053" w:name="_Toc19338"/>
      <w:bookmarkStart w:id="1054" w:name="_Toc9999"/>
      <w:bookmarkStart w:id="1055" w:name="_Toc31349"/>
      <w:bookmarkStart w:id="1056" w:name="_Toc5941"/>
      <w:bookmarkStart w:id="1057" w:name="_Toc14530"/>
      <w:bookmarkStart w:id="1058" w:name="_Toc4339"/>
      <w:bookmarkStart w:id="1059" w:name="_Toc17331"/>
      <w:bookmarkStart w:id="1060" w:name="_Toc1371"/>
      <w:bookmarkStart w:id="1061" w:name="_Toc519780964"/>
      <w:bookmarkStart w:id="1062" w:name="_Toc19199"/>
      <w:bookmarkStart w:id="1063" w:name="_Toc25102"/>
      <w:bookmarkStart w:id="1064" w:name="_Toc4177"/>
      <w:bookmarkStart w:id="1065" w:name="_Toc6541"/>
      <w:bookmarkStart w:id="1066" w:name="_Toc24342"/>
      <w:bookmarkStart w:id="1067" w:name="_Toc8072"/>
      <w:bookmarkStart w:id="1068" w:name="_Toc13896"/>
      <w:bookmarkStart w:id="1069" w:name="_Toc26087"/>
      <w:bookmarkStart w:id="1070" w:name="_Toc21373"/>
      <w:bookmarkStart w:id="1071" w:name="_Toc26322"/>
      <w:bookmarkStart w:id="1072" w:name="_Toc2829"/>
      <w:bookmarkStart w:id="1073" w:name="_Toc25358"/>
      <w:bookmarkStart w:id="1074" w:name="_Toc22820"/>
      <w:bookmarkStart w:id="1075" w:name="_Toc14119"/>
      <w:bookmarkStart w:id="1076" w:name="_Toc12368"/>
      <w:bookmarkStart w:id="1077" w:name="_Toc21431"/>
      <w:bookmarkStart w:id="1078" w:name="_Toc3303"/>
      <w:bookmarkStart w:id="1079" w:name="_Toc8599"/>
      <w:bookmarkStart w:id="1080" w:name="_Toc18625"/>
      <w:bookmarkStart w:id="1081" w:name="_Toc6809"/>
      <w:r>
        <w:rPr>
          <w:rFonts w:ascii="黑体" w:eastAsia="黑体" w:hAnsi="黑体" w:cs="黑体" w:hint="eastAsia"/>
          <w:color w:val="000000" w:themeColor="text1"/>
          <w:sz w:val="28"/>
          <w:szCs w:val="28"/>
        </w:rPr>
        <w:t>4.7.2专业技术人员继续教育</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sz w:val="24"/>
          <w:szCs w:val="24"/>
          <w:lang w:bidi="ar"/>
        </w:rPr>
        <w:t>继续教育是各专业技术人员的应尽的权利和义务，关系到专业技术人员职称评审、岗位聘用等业务，各专业技术人员应按时按量完成好继续教育年度验证工作。具体操作指引及政策介绍请登录广州大学人事处网站查阅（广州大学人事处官网→办事指南→师资培养→专业技术人员继续教育年度验证指引）</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082" w:name="_Toc29587"/>
      <w:bookmarkStart w:id="1083" w:name="_Toc12009"/>
      <w:bookmarkStart w:id="1084" w:name="_Toc5189"/>
      <w:bookmarkStart w:id="1085" w:name="_Toc18161"/>
      <w:bookmarkStart w:id="1086" w:name="_Toc5972"/>
      <w:bookmarkStart w:id="1087" w:name="_Toc13954"/>
      <w:bookmarkStart w:id="1088" w:name="_Toc28981"/>
      <w:bookmarkStart w:id="1089" w:name="_Toc21076"/>
      <w:bookmarkStart w:id="1090" w:name="_Toc30941"/>
      <w:bookmarkStart w:id="1091" w:name="_Toc840"/>
      <w:bookmarkStart w:id="1092" w:name="_Toc519780965"/>
      <w:bookmarkStart w:id="1093" w:name="_Toc9520"/>
      <w:bookmarkStart w:id="1094" w:name="_Toc15010"/>
      <w:bookmarkStart w:id="1095" w:name="_Toc9720"/>
      <w:bookmarkStart w:id="1096" w:name="_Toc185"/>
      <w:bookmarkStart w:id="1097" w:name="_Toc16091"/>
      <w:bookmarkStart w:id="1098" w:name="_Toc8522"/>
      <w:bookmarkStart w:id="1099" w:name="_Toc15302"/>
      <w:bookmarkStart w:id="1100" w:name="_Toc4356"/>
      <w:bookmarkStart w:id="1101" w:name="_Toc192"/>
      <w:bookmarkStart w:id="1102" w:name="_Toc27829"/>
      <w:bookmarkStart w:id="1103" w:name="_Toc24229"/>
      <w:bookmarkStart w:id="1104" w:name="_Toc15722"/>
      <w:bookmarkStart w:id="1105" w:name="_Toc29127"/>
      <w:bookmarkStart w:id="1106" w:name="_Toc26928"/>
      <w:bookmarkStart w:id="1107" w:name="_Toc8630"/>
      <w:bookmarkStart w:id="1108" w:name="_Toc29207"/>
      <w:bookmarkStart w:id="1109" w:name="_Toc14289"/>
      <w:bookmarkStart w:id="1110" w:name="_Toc31174"/>
      <w:bookmarkStart w:id="1111" w:name="_Toc21349"/>
      <w:r>
        <w:rPr>
          <w:rFonts w:ascii="黑体" w:eastAsia="黑体" w:hAnsi="黑体" w:cs="黑体" w:hint="eastAsia"/>
          <w:color w:val="000000" w:themeColor="text1"/>
          <w:sz w:val="28"/>
          <w:szCs w:val="28"/>
        </w:rPr>
        <w:t>4.8教职工考勤管理办法</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r>
        <w:rPr>
          <w:rFonts w:ascii="黑体" w:eastAsia="黑体" w:hAnsi="黑体" w:cs="黑体" w:hint="eastAsia"/>
          <w:color w:val="000000" w:themeColor="text1"/>
          <w:sz w:val="28"/>
          <w:szCs w:val="28"/>
        </w:rPr>
        <w:t>（详见广大〔2018〕97号）</w:t>
      </w:r>
      <w:bookmarkEnd w:id="1105"/>
      <w:bookmarkEnd w:id="1106"/>
      <w:bookmarkEnd w:id="1107"/>
      <w:bookmarkEnd w:id="1108"/>
      <w:bookmarkEnd w:id="1109"/>
      <w:bookmarkEnd w:id="1110"/>
      <w:bookmarkEnd w:id="1111"/>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为进一步规范和加强学校教职工考勤与请假管理，保证学校正常的工作秩序，维护学校和教职工的合法权益，在国家规定的各种假期以外，学校教职工因病、因事请假，须执行相应的请假、续假申报和销假制度。</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教职工请假包括：病假、事假、婚假、丧假、产假、哺乳假、看护假、护理假、节育手术假、探亲假等。</w:t>
      </w:r>
    </w:p>
    <w:p w:rsidR="00E37845" w:rsidRDefault="00E22BDD">
      <w:pPr>
        <w:adjustRightInd w:val="0"/>
        <w:snapToGrid w:val="0"/>
        <w:spacing w:line="360" w:lineRule="auto"/>
        <w:ind w:firstLineChars="200" w:firstLine="456"/>
        <w:rPr>
          <w:rFonts w:ascii="仿宋_GB2312" w:eastAsia="仿宋_GB2312" w:hAnsi="仿宋_GB2312" w:cs="仿宋_GB2312"/>
          <w:color w:val="000000" w:themeColor="text1"/>
          <w:spacing w:val="-6"/>
          <w:sz w:val="24"/>
          <w:szCs w:val="24"/>
        </w:rPr>
      </w:pPr>
      <w:r>
        <w:rPr>
          <w:rFonts w:ascii="仿宋_GB2312" w:eastAsia="仿宋_GB2312" w:hAnsi="仿宋_GB2312" w:cs="仿宋_GB2312" w:hint="eastAsia"/>
          <w:color w:val="000000" w:themeColor="text1"/>
          <w:spacing w:val="-6"/>
          <w:sz w:val="24"/>
          <w:szCs w:val="24"/>
        </w:rPr>
        <w:t>二、</w:t>
      </w:r>
      <w:r>
        <w:rPr>
          <w:rFonts w:ascii="仿宋_GB2312" w:eastAsia="仿宋_GB2312" w:hAnsi="仿宋_GB2312" w:cs="仿宋_GB2312"/>
          <w:color w:val="000000" w:themeColor="text1"/>
          <w:spacing w:val="-6"/>
          <w:sz w:val="24"/>
          <w:szCs w:val="24"/>
        </w:rPr>
        <w:t>非教学科研人员须认真遵守学校上下班制度和寒暑假轮休制度，认真履行岗位职责，不得在工作时间内擅自离岗或从事与工作无关的事情。根据工作实际需要实行轮值班的岗位，由二级单位制定轮值班及补休工作方案报人事处备案。</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教学科研人员须认真完成本人所承担的教学、科研等工作，按时出席学校和所在二级单位安排的各类活动。同时，科研机构工作人员的考勤要以绩效考核为原则，加强科研过程监控和考勤工作，具体考勤方式由二级单位结合工作实际制定方案并报人事处备案。</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w:t>
      </w:r>
      <w:r>
        <w:rPr>
          <w:rFonts w:ascii="仿宋_GB2312" w:eastAsia="仿宋_GB2312" w:hAnsi="仿宋_GB2312" w:cs="仿宋_GB2312"/>
          <w:color w:val="000000" w:themeColor="text1"/>
          <w:sz w:val="24"/>
          <w:szCs w:val="24"/>
        </w:rPr>
        <w:t xml:space="preserve">教职工因请假需调课的，须报教务处或研究生处（院）审批。 </w:t>
      </w:r>
    </w:p>
    <w:p w:rsidR="00E37845" w:rsidRDefault="00E22BDD">
      <w:pPr>
        <w:adjustRightInd w:val="0"/>
        <w:snapToGrid w:val="0"/>
        <w:spacing w:line="360" w:lineRule="auto"/>
        <w:ind w:firstLineChars="200" w:firstLine="436"/>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pacing w:val="-11"/>
          <w:sz w:val="24"/>
          <w:szCs w:val="24"/>
        </w:rPr>
        <w:t>五、</w:t>
      </w:r>
      <w:r>
        <w:rPr>
          <w:rFonts w:ascii="仿宋_GB2312" w:eastAsia="仿宋_GB2312" w:hAnsi="仿宋_GB2312" w:cs="仿宋_GB2312"/>
          <w:color w:val="000000" w:themeColor="text1"/>
          <w:spacing w:val="-11"/>
          <w:sz w:val="24"/>
          <w:szCs w:val="24"/>
        </w:rPr>
        <w:t>其他非事业编制人员的请假待遇参照国家和学校的相关规定和合同约定执行。</w:t>
      </w:r>
      <w:r>
        <w:rPr>
          <w:rFonts w:ascii="仿宋_GB2312" w:eastAsia="仿宋_GB2312" w:hAnsi="仿宋_GB2312" w:cs="仿宋_GB2312"/>
          <w:color w:val="000000" w:themeColor="text1"/>
          <w:sz w:val="24"/>
          <w:szCs w:val="24"/>
        </w:rPr>
        <w:br w:type="page"/>
      </w:r>
    </w:p>
    <w:tbl>
      <w:tblPr>
        <w:tblW w:w="8640" w:type="dxa"/>
        <w:jc w:val="center"/>
        <w:tblLayout w:type="fixed"/>
        <w:tblLook w:val="04A0" w:firstRow="1" w:lastRow="0" w:firstColumn="1" w:lastColumn="0" w:noHBand="0" w:noVBand="1"/>
      </w:tblPr>
      <w:tblGrid>
        <w:gridCol w:w="983"/>
        <w:gridCol w:w="1449"/>
        <w:gridCol w:w="1626"/>
        <w:gridCol w:w="1862"/>
        <w:gridCol w:w="1779"/>
        <w:gridCol w:w="941"/>
      </w:tblGrid>
      <w:tr w:rsidR="00E37845">
        <w:trPr>
          <w:trHeight w:val="536"/>
          <w:jc w:val="center"/>
        </w:trPr>
        <w:tc>
          <w:tcPr>
            <w:tcW w:w="7699" w:type="dxa"/>
            <w:gridSpan w:val="5"/>
            <w:tcBorders>
              <w:top w:val="nil"/>
              <w:left w:val="nil"/>
              <w:bottom w:val="single" w:sz="4" w:space="0" w:color="auto"/>
              <w:right w:val="nil"/>
            </w:tcBorders>
            <w:shd w:val="clear" w:color="auto" w:fill="auto"/>
            <w:vAlign w:val="center"/>
          </w:tcPr>
          <w:p w:rsidR="00E37845" w:rsidRDefault="00E22BDD">
            <w:pPr>
              <w:spacing w:before="156"/>
              <w:jc w:val="center"/>
            </w:pPr>
            <w:bookmarkStart w:id="1112" w:name="_Toc519780966"/>
            <w:bookmarkStart w:id="1113" w:name="_Toc13550"/>
            <w:bookmarkStart w:id="1114" w:name="_Toc7105"/>
            <w:r>
              <w:rPr>
                <w:rFonts w:ascii="黑体" w:eastAsia="黑体" w:hAnsi="黑体" w:cs="黑体" w:hint="eastAsia"/>
                <w:sz w:val="28"/>
                <w:szCs w:val="28"/>
              </w:rPr>
              <w:lastRenderedPageBreak/>
              <w:t>教职工请假类型、假期和审批权限及依据总表</w:t>
            </w:r>
            <w:bookmarkEnd w:id="1112"/>
            <w:bookmarkEnd w:id="1113"/>
            <w:bookmarkEnd w:id="1114"/>
          </w:p>
        </w:tc>
        <w:tc>
          <w:tcPr>
            <w:tcW w:w="941" w:type="dxa"/>
            <w:tcBorders>
              <w:top w:val="nil"/>
              <w:left w:val="nil"/>
              <w:bottom w:val="nil"/>
              <w:right w:val="nil"/>
            </w:tcBorders>
            <w:shd w:val="clear" w:color="auto" w:fill="auto"/>
            <w:vAlign w:val="center"/>
          </w:tcPr>
          <w:p w:rsidR="00E37845" w:rsidRDefault="00E37845">
            <w:pPr>
              <w:keepNext/>
              <w:keepLines/>
              <w:adjustRightInd w:val="0"/>
              <w:snapToGrid w:val="0"/>
              <w:spacing w:beforeLines="50" w:before="156" w:after="330"/>
              <w:jc w:val="center"/>
              <w:outlineLvl w:val="0"/>
              <w:rPr>
                <w:rFonts w:ascii="方正大标宋简体" w:eastAsia="方正大标宋简体" w:hAnsi="方正大标宋简体" w:cs="方正大标宋简体"/>
                <w:color w:val="000000" w:themeColor="text1"/>
              </w:rPr>
            </w:pPr>
          </w:p>
        </w:tc>
      </w:tr>
      <w:tr w:rsidR="00E37845">
        <w:trPr>
          <w:trHeight w:val="543"/>
          <w:jc w:val="center"/>
        </w:trPr>
        <w:tc>
          <w:tcPr>
            <w:tcW w:w="983" w:type="dxa"/>
            <w:tcBorders>
              <w:top w:val="nil"/>
              <w:left w:val="single" w:sz="4" w:space="0" w:color="auto"/>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类型</w:t>
            </w:r>
          </w:p>
        </w:tc>
        <w:tc>
          <w:tcPr>
            <w:tcW w:w="1449"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事由</w:t>
            </w:r>
          </w:p>
        </w:tc>
        <w:tc>
          <w:tcPr>
            <w:tcW w:w="1626"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假期</w:t>
            </w:r>
          </w:p>
        </w:tc>
        <w:tc>
          <w:tcPr>
            <w:tcW w:w="1862"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审批权限</w:t>
            </w:r>
          </w:p>
        </w:tc>
        <w:tc>
          <w:tcPr>
            <w:tcW w:w="1779"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备注</w:t>
            </w:r>
          </w:p>
        </w:tc>
        <w:tc>
          <w:tcPr>
            <w:tcW w:w="941" w:type="dxa"/>
            <w:tcBorders>
              <w:top w:val="single" w:sz="4" w:space="0" w:color="auto"/>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依据</w:t>
            </w:r>
          </w:p>
        </w:tc>
      </w:tr>
      <w:tr w:rsidR="00E37845">
        <w:trPr>
          <w:trHeight w:val="527"/>
          <w:jc w:val="center"/>
        </w:trPr>
        <w:tc>
          <w:tcPr>
            <w:tcW w:w="983" w:type="dxa"/>
            <w:vMerge w:val="restart"/>
            <w:tcBorders>
              <w:top w:val="nil"/>
              <w:left w:val="single" w:sz="4" w:space="0" w:color="auto"/>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事假</w:t>
            </w:r>
          </w:p>
        </w:tc>
        <w:tc>
          <w:tcPr>
            <w:tcW w:w="1449" w:type="dxa"/>
            <w:vMerge w:val="restart"/>
            <w:tcBorders>
              <w:top w:val="nil"/>
              <w:left w:val="single" w:sz="4" w:space="0" w:color="auto"/>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一般事假</w:t>
            </w:r>
          </w:p>
        </w:tc>
        <w:tc>
          <w:tcPr>
            <w:tcW w:w="1626"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color w:val="000000" w:themeColor="text1"/>
              </w:rPr>
              <w:t>8天以上</w:t>
            </w:r>
          </w:p>
        </w:tc>
        <w:tc>
          <w:tcPr>
            <w:tcW w:w="1862"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主管校领导</w:t>
            </w:r>
          </w:p>
        </w:tc>
        <w:tc>
          <w:tcPr>
            <w:tcW w:w="1779" w:type="dxa"/>
            <w:vMerge w:val="restart"/>
            <w:tcBorders>
              <w:top w:val="nil"/>
              <w:left w:val="single" w:sz="4" w:space="0" w:color="auto"/>
              <w:bottom w:val="single" w:sz="4" w:space="0" w:color="000000"/>
              <w:right w:val="single" w:sz="4" w:space="0" w:color="auto"/>
            </w:tcBorders>
            <w:shd w:val="clear" w:color="auto" w:fill="auto"/>
            <w:vAlign w:val="center"/>
          </w:tcPr>
          <w:p w:rsidR="00E37845" w:rsidRDefault="00E37845">
            <w:pPr>
              <w:adjustRightInd w:val="0"/>
              <w:snapToGrid w:val="0"/>
              <w:jc w:val="center"/>
              <w:rPr>
                <w:rFonts w:ascii="仿宋_GB2312" w:eastAsia="仿宋_GB2312" w:hAnsi="仿宋_GB2312" w:cs="仿宋_GB2312"/>
                <w:color w:val="000000" w:themeColor="text1"/>
              </w:rPr>
            </w:pPr>
          </w:p>
        </w:tc>
        <w:tc>
          <w:tcPr>
            <w:tcW w:w="941" w:type="dxa"/>
            <w:vMerge w:val="restart"/>
            <w:tcBorders>
              <w:top w:val="nil"/>
              <w:left w:val="single" w:sz="4" w:space="0" w:color="auto"/>
              <w:right w:val="single" w:sz="4" w:space="0" w:color="auto"/>
            </w:tcBorders>
            <w:shd w:val="clear" w:color="auto" w:fill="auto"/>
            <w:vAlign w:val="center"/>
          </w:tcPr>
          <w:p w:rsidR="00E37845" w:rsidRDefault="00E37845">
            <w:pPr>
              <w:adjustRightInd w:val="0"/>
              <w:snapToGrid w:val="0"/>
              <w:jc w:val="center"/>
              <w:rPr>
                <w:rFonts w:ascii="仿宋_GB2312" w:eastAsia="仿宋_GB2312" w:hAnsi="仿宋_GB2312" w:cs="仿宋_GB2312"/>
                <w:color w:val="000000" w:themeColor="text1"/>
              </w:rPr>
            </w:pPr>
          </w:p>
        </w:tc>
      </w:tr>
      <w:tr w:rsidR="00E37845">
        <w:trPr>
          <w:trHeight w:val="458"/>
          <w:jc w:val="center"/>
        </w:trPr>
        <w:tc>
          <w:tcPr>
            <w:tcW w:w="983" w:type="dxa"/>
            <w:vMerge/>
            <w:tcBorders>
              <w:top w:val="nil"/>
              <w:left w:val="single" w:sz="4" w:space="0" w:color="auto"/>
              <w:bottom w:val="single" w:sz="4" w:space="0" w:color="auto"/>
              <w:right w:val="single" w:sz="4" w:space="0" w:color="auto"/>
            </w:tcBorders>
            <w:vAlign w:val="center"/>
          </w:tcPr>
          <w:p w:rsidR="00E37845" w:rsidRDefault="00E37845">
            <w:pPr>
              <w:adjustRightInd w:val="0"/>
              <w:snapToGrid w:val="0"/>
              <w:spacing w:line="578" w:lineRule="auto"/>
              <w:jc w:val="center"/>
              <w:outlineLvl w:val="0"/>
              <w:rPr>
                <w:rFonts w:ascii="仿宋_GB2312" w:eastAsia="仿宋_GB2312" w:hAnsi="仿宋_GB2312" w:cs="仿宋_GB2312"/>
                <w:color w:val="000000" w:themeColor="text1"/>
              </w:rPr>
            </w:pPr>
          </w:p>
        </w:tc>
        <w:tc>
          <w:tcPr>
            <w:tcW w:w="1449" w:type="dxa"/>
            <w:vMerge/>
            <w:tcBorders>
              <w:top w:val="nil"/>
              <w:left w:val="single" w:sz="4" w:space="0" w:color="auto"/>
              <w:bottom w:val="single" w:sz="4" w:space="0" w:color="auto"/>
              <w:right w:val="single" w:sz="4" w:space="0" w:color="auto"/>
            </w:tcBorders>
            <w:vAlign w:val="center"/>
          </w:tcPr>
          <w:p w:rsidR="00E37845" w:rsidRDefault="00E37845">
            <w:pPr>
              <w:adjustRightInd w:val="0"/>
              <w:snapToGrid w:val="0"/>
              <w:spacing w:line="578" w:lineRule="auto"/>
              <w:jc w:val="center"/>
              <w:outlineLvl w:val="0"/>
              <w:rPr>
                <w:rFonts w:ascii="仿宋_GB2312" w:eastAsia="仿宋_GB2312" w:hAnsi="仿宋_GB2312" w:cs="仿宋_GB2312"/>
                <w:color w:val="000000" w:themeColor="text1"/>
              </w:rPr>
            </w:pPr>
          </w:p>
        </w:tc>
        <w:tc>
          <w:tcPr>
            <w:tcW w:w="1626"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color w:val="000000" w:themeColor="text1"/>
              </w:rPr>
              <w:t>4－7天</w:t>
            </w:r>
          </w:p>
        </w:tc>
        <w:tc>
          <w:tcPr>
            <w:tcW w:w="1862"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人事处</w:t>
            </w:r>
          </w:p>
        </w:tc>
        <w:tc>
          <w:tcPr>
            <w:tcW w:w="1779" w:type="dxa"/>
            <w:vMerge/>
            <w:tcBorders>
              <w:top w:val="nil"/>
              <w:left w:val="single" w:sz="4" w:space="0" w:color="auto"/>
              <w:bottom w:val="single" w:sz="4" w:space="0" w:color="000000"/>
              <w:right w:val="single" w:sz="4" w:space="0" w:color="auto"/>
            </w:tcBorders>
            <w:vAlign w:val="center"/>
          </w:tcPr>
          <w:p w:rsidR="00E37845" w:rsidRDefault="00E37845">
            <w:pPr>
              <w:keepNext/>
              <w:keepLines/>
              <w:adjustRightInd w:val="0"/>
              <w:snapToGrid w:val="0"/>
              <w:spacing w:before="340" w:after="330"/>
              <w:jc w:val="center"/>
              <w:outlineLvl w:val="0"/>
              <w:rPr>
                <w:rFonts w:ascii="仿宋_GB2312" w:eastAsia="仿宋_GB2312" w:hAnsi="仿宋_GB2312" w:cs="仿宋_GB2312"/>
                <w:color w:val="000000" w:themeColor="text1"/>
              </w:rPr>
            </w:pPr>
          </w:p>
        </w:tc>
        <w:tc>
          <w:tcPr>
            <w:tcW w:w="941" w:type="dxa"/>
            <w:vMerge/>
            <w:tcBorders>
              <w:left w:val="single" w:sz="4" w:space="0" w:color="auto"/>
              <w:right w:val="single" w:sz="4" w:space="0" w:color="auto"/>
            </w:tcBorders>
            <w:vAlign w:val="center"/>
          </w:tcPr>
          <w:p w:rsidR="00E37845" w:rsidRDefault="00E37845">
            <w:pPr>
              <w:adjustRightInd w:val="0"/>
              <w:snapToGrid w:val="0"/>
              <w:jc w:val="center"/>
              <w:rPr>
                <w:rFonts w:ascii="仿宋_GB2312" w:eastAsia="仿宋_GB2312" w:hAnsi="仿宋_GB2312" w:cs="仿宋_GB2312"/>
                <w:color w:val="000000" w:themeColor="text1"/>
              </w:rPr>
            </w:pPr>
          </w:p>
        </w:tc>
      </w:tr>
      <w:tr w:rsidR="00E37845">
        <w:trPr>
          <w:trHeight w:val="468"/>
          <w:jc w:val="center"/>
        </w:trPr>
        <w:tc>
          <w:tcPr>
            <w:tcW w:w="983" w:type="dxa"/>
            <w:vMerge/>
            <w:tcBorders>
              <w:top w:val="nil"/>
              <w:left w:val="single" w:sz="4" w:space="0" w:color="auto"/>
              <w:bottom w:val="single" w:sz="4" w:space="0" w:color="auto"/>
              <w:right w:val="single" w:sz="4" w:space="0" w:color="auto"/>
            </w:tcBorders>
            <w:vAlign w:val="center"/>
          </w:tcPr>
          <w:p w:rsidR="00E37845" w:rsidRDefault="00E37845">
            <w:pPr>
              <w:adjustRightInd w:val="0"/>
              <w:snapToGrid w:val="0"/>
              <w:spacing w:line="578" w:lineRule="auto"/>
              <w:jc w:val="center"/>
              <w:outlineLvl w:val="0"/>
              <w:rPr>
                <w:rFonts w:ascii="仿宋_GB2312" w:eastAsia="仿宋_GB2312" w:hAnsi="仿宋_GB2312" w:cs="仿宋_GB2312"/>
                <w:color w:val="000000" w:themeColor="text1"/>
              </w:rPr>
            </w:pPr>
          </w:p>
        </w:tc>
        <w:tc>
          <w:tcPr>
            <w:tcW w:w="1449" w:type="dxa"/>
            <w:vMerge/>
            <w:tcBorders>
              <w:top w:val="nil"/>
              <w:left w:val="single" w:sz="4" w:space="0" w:color="auto"/>
              <w:bottom w:val="single" w:sz="4" w:space="0" w:color="auto"/>
              <w:right w:val="single" w:sz="4" w:space="0" w:color="auto"/>
            </w:tcBorders>
            <w:vAlign w:val="center"/>
          </w:tcPr>
          <w:p w:rsidR="00E37845" w:rsidRDefault="00E37845">
            <w:pPr>
              <w:adjustRightInd w:val="0"/>
              <w:snapToGrid w:val="0"/>
              <w:spacing w:line="578" w:lineRule="auto"/>
              <w:jc w:val="center"/>
              <w:outlineLvl w:val="0"/>
              <w:rPr>
                <w:rFonts w:ascii="仿宋_GB2312" w:eastAsia="仿宋_GB2312" w:hAnsi="仿宋_GB2312" w:cs="仿宋_GB2312"/>
                <w:color w:val="000000" w:themeColor="text1"/>
              </w:rPr>
            </w:pPr>
          </w:p>
        </w:tc>
        <w:tc>
          <w:tcPr>
            <w:tcW w:w="1626"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color w:val="000000" w:themeColor="text1"/>
              </w:rPr>
              <w:t>3天以下</w:t>
            </w:r>
          </w:p>
        </w:tc>
        <w:tc>
          <w:tcPr>
            <w:tcW w:w="1862"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二级单位领导</w:t>
            </w:r>
          </w:p>
        </w:tc>
        <w:tc>
          <w:tcPr>
            <w:tcW w:w="1779" w:type="dxa"/>
            <w:vMerge/>
            <w:tcBorders>
              <w:top w:val="nil"/>
              <w:left w:val="single" w:sz="4" w:space="0" w:color="auto"/>
              <w:bottom w:val="single" w:sz="4" w:space="0" w:color="000000"/>
              <w:right w:val="single" w:sz="4" w:space="0" w:color="auto"/>
            </w:tcBorders>
            <w:vAlign w:val="center"/>
          </w:tcPr>
          <w:p w:rsidR="00E37845" w:rsidRDefault="00E37845">
            <w:pPr>
              <w:keepNext/>
              <w:keepLines/>
              <w:adjustRightInd w:val="0"/>
              <w:snapToGrid w:val="0"/>
              <w:spacing w:before="340" w:after="330"/>
              <w:jc w:val="center"/>
              <w:outlineLvl w:val="0"/>
              <w:rPr>
                <w:rFonts w:ascii="仿宋_GB2312" w:eastAsia="仿宋_GB2312" w:hAnsi="仿宋_GB2312" w:cs="仿宋_GB2312"/>
                <w:color w:val="000000" w:themeColor="text1"/>
              </w:rPr>
            </w:pPr>
          </w:p>
        </w:tc>
        <w:tc>
          <w:tcPr>
            <w:tcW w:w="941" w:type="dxa"/>
            <w:vMerge/>
            <w:tcBorders>
              <w:left w:val="single" w:sz="4" w:space="0" w:color="auto"/>
              <w:right w:val="single" w:sz="4" w:space="0" w:color="auto"/>
            </w:tcBorders>
            <w:vAlign w:val="center"/>
          </w:tcPr>
          <w:p w:rsidR="00E37845" w:rsidRDefault="00E37845">
            <w:pPr>
              <w:adjustRightInd w:val="0"/>
              <w:snapToGrid w:val="0"/>
              <w:jc w:val="center"/>
              <w:rPr>
                <w:rFonts w:ascii="仿宋_GB2312" w:eastAsia="仿宋_GB2312" w:hAnsi="仿宋_GB2312" w:cs="仿宋_GB2312"/>
                <w:color w:val="000000" w:themeColor="text1"/>
              </w:rPr>
            </w:pPr>
          </w:p>
        </w:tc>
      </w:tr>
      <w:tr w:rsidR="00E37845">
        <w:trPr>
          <w:trHeight w:val="839"/>
          <w:jc w:val="center"/>
        </w:trPr>
        <w:tc>
          <w:tcPr>
            <w:tcW w:w="983" w:type="dxa"/>
            <w:vMerge w:val="restart"/>
            <w:tcBorders>
              <w:top w:val="nil"/>
              <w:left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病假</w:t>
            </w:r>
          </w:p>
        </w:tc>
        <w:tc>
          <w:tcPr>
            <w:tcW w:w="1449"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出国治病</w:t>
            </w:r>
          </w:p>
        </w:tc>
        <w:tc>
          <w:tcPr>
            <w:tcW w:w="1626" w:type="dxa"/>
            <w:tcBorders>
              <w:top w:val="nil"/>
              <w:left w:val="nil"/>
              <w:bottom w:val="single" w:sz="4" w:space="0" w:color="auto"/>
              <w:right w:val="single" w:sz="4" w:space="0" w:color="auto"/>
            </w:tcBorders>
            <w:shd w:val="clear" w:color="auto" w:fill="auto"/>
            <w:vAlign w:val="center"/>
          </w:tcPr>
          <w:p w:rsidR="00E37845" w:rsidRDefault="00E37845">
            <w:pPr>
              <w:keepNext/>
              <w:keepLines/>
              <w:adjustRightInd w:val="0"/>
              <w:snapToGrid w:val="0"/>
              <w:spacing w:before="340" w:after="330"/>
              <w:jc w:val="center"/>
              <w:outlineLvl w:val="0"/>
              <w:rPr>
                <w:rFonts w:ascii="仿宋_GB2312" w:eastAsia="仿宋_GB2312" w:hAnsi="仿宋_GB2312" w:cs="仿宋_GB2312"/>
                <w:color w:val="000000" w:themeColor="text1"/>
              </w:rPr>
            </w:pPr>
          </w:p>
        </w:tc>
        <w:tc>
          <w:tcPr>
            <w:tcW w:w="1862"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主管校领导</w:t>
            </w:r>
          </w:p>
        </w:tc>
        <w:tc>
          <w:tcPr>
            <w:tcW w:w="1779" w:type="dxa"/>
            <w:vMerge w:val="restart"/>
            <w:tcBorders>
              <w:top w:val="nil"/>
              <w:left w:val="nil"/>
              <w:right w:val="single" w:sz="4" w:space="0" w:color="auto"/>
            </w:tcBorders>
            <w:shd w:val="clear" w:color="auto" w:fill="auto"/>
            <w:vAlign w:val="center"/>
          </w:tcPr>
          <w:p w:rsidR="00E37845" w:rsidRDefault="00E37845">
            <w:pPr>
              <w:keepNext/>
              <w:keepLines/>
              <w:adjustRightInd w:val="0"/>
              <w:snapToGrid w:val="0"/>
              <w:spacing w:before="340" w:after="330"/>
              <w:jc w:val="center"/>
              <w:outlineLvl w:val="0"/>
              <w:rPr>
                <w:rFonts w:ascii="仿宋_GB2312" w:eastAsia="仿宋_GB2312" w:hAnsi="仿宋_GB2312" w:cs="仿宋_GB2312"/>
                <w:color w:val="000000" w:themeColor="text1"/>
              </w:rPr>
            </w:pPr>
          </w:p>
        </w:tc>
        <w:tc>
          <w:tcPr>
            <w:tcW w:w="941" w:type="dxa"/>
            <w:vMerge/>
            <w:tcBorders>
              <w:left w:val="single" w:sz="4" w:space="0" w:color="auto"/>
              <w:right w:val="single" w:sz="4" w:space="0" w:color="auto"/>
            </w:tcBorders>
            <w:shd w:val="clear" w:color="auto" w:fill="auto"/>
            <w:vAlign w:val="center"/>
          </w:tcPr>
          <w:p w:rsidR="00E37845" w:rsidRDefault="00E37845">
            <w:pPr>
              <w:adjustRightInd w:val="0"/>
              <w:snapToGrid w:val="0"/>
              <w:jc w:val="center"/>
              <w:rPr>
                <w:rFonts w:ascii="仿宋_GB2312" w:eastAsia="仿宋_GB2312" w:hAnsi="仿宋_GB2312" w:cs="仿宋_GB2312"/>
                <w:color w:val="000000" w:themeColor="text1"/>
              </w:rPr>
            </w:pPr>
          </w:p>
        </w:tc>
      </w:tr>
      <w:tr w:rsidR="00E37845">
        <w:trPr>
          <w:trHeight w:val="589"/>
          <w:jc w:val="center"/>
        </w:trPr>
        <w:tc>
          <w:tcPr>
            <w:tcW w:w="983" w:type="dxa"/>
            <w:vMerge/>
            <w:tcBorders>
              <w:left w:val="single" w:sz="4" w:space="0" w:color="auto"/>
              <w:right w:val="single" w:sz="4" w:space="0" w:color="auto"/>
            </w:tcBorders>
            <w:vAlign w:val="center"/>
          </w:tcPr>
          <w:p w:rsidR="00E37845" w:rsidRDefault="00E37845">
            <w:pPr>
              <w:adjustRightInd w:val="0"/>
              <w:snapToGrid w:val="0"/>
              <w:spacing w:line="578" w:lineRule="auto"/>
              <w:jc w:val="center"/>
              <w:outlineLvl w:val="0"/>
              <w:rPr>
                <w:rFonts w:ascii="仿宋_GB2312" w:eastAsia="仿宋_GB2312" w:hAnsi="仿宋_GB2312" w:cs="仿宋_GB2312"/>
                <w:color w:val="000000" w:themeColor="text1"/>
              </w:rPr>
            </w:pPr>
          </w:p>
        </w:tc>
        <w:tc>
          <w:tcPr>
            <w:tcW w:w="1449" w:type="dxa"/>
            <w:vMerge w:val="restart"/>
            <w:tcBorders>
              <w:top w:val="nil"/>
              <w:left w:val="nil"/>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一般病假</w:t>
            </w:r>
          </w:p>
        </w:tc>
        <w:tc>
          <w:tcPr>
            <w:tcW w:w="1626"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color w:val="000000" w:themeColor="text1"/>
              </w:rPr>
              <w:t>5天以内</w:t>
            </w:r>
          </w:p>
        </w:tc>
        <w:tc>
          <w:tcPr>
            <w:tcW w:w="1862"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二级单位领导</w:t>
            </w:r>
          </w:p>
        </w:tc>
        <w:tc>
          <w:tcPr>
            <w:tcW w:w="1779" w:type="dxa"/>
            <w:vMerge/>
            <w:tcBorders>
              <w:left w:val="nil"/>
              <w:right w:val="single" w:sz="4" w:space="0" w:color="auto"/>
            </w:tcBorders>
            <w:shd w:val="clear" w:color="auto" w:fill="auto"/>
            <w:vAlign w:val="center"/>
          </w:tcPr>
          <w:p w:rsidR="00E37845" w:rsidRDefault="00E37845">
            <w:pPr>
              <w:keepNext/>
              <w:keepLines/>
              <w:adjustRightInd w:val="0"/>
              <w:snapToGrid w:val="0"/>
              <w:spacing w:before="340" w:after="330"/>
              <w:jc w:val="center"/>
              <w:outlineLvl w:val="0"/>
              <w:rPr>
                <w:rFonts w:ascii="仿宋_GB2312" w:eastAsia="仿宋_GB2312" w:hAnsi="仿宋_GB2312" w:cs="仿宋_GB2312"/>
                <w:color w:val="000000" w:themeColor="text1"/>
              </w:rPr>
            </w:pPr>
          </w:p>
        </w:tc>
        <w:tc>
          <w:tcPr>
            <w:tcW w:w="941" w:type="dxa"/>
            <w:vMerge/>
            <w:tcBorders>
              <w:left w:val="single" w:sz="4" w:space="0" w:color="auto"/>
              <w:right w:val="single" w:sz="4" w:space="0" w:color="auto"/>
            </w:tcBorders>
            <w:vAlign w:val="center"/>
          </w:tcPr>
          <w:p w:rsidR="00E37845" w:rsidRDefault="00E37845">
            <w:pPr>
              <w:adjustRightInd w:val="0"/>
              <w:snapToGrid w:val="0"/>
              <w:jc w:val="center"/>
              <w:rPr>
                <w:rFonts w:ascii="仿宋_GB2312" w:eastAsia="仿宋_GB2312" w:hAnsi="仿宋_GB2312" w:cs="仿宋_GB2312"/>
                <w:color w:val="000000" w:themeColor="text1"/>
              </w:rPr>
            </w:pPr>
          </w:p>
        </w:tc>
      </w:tr>
      <w:tr w:rsidR="00E37845">
        <w:trPr>
          <w:trHeight w:val="474"/>
          <w:jc w:val="center"/>
        </w:trPr>
        <w:tc>
          <w:tcPr>
            <w:tcW w:w="983" w:type="dxa"/>
            <w:vMerge/>
            <w:tcBorders>
              <w:left w:val="single" w:sz="4" w:space="0" w:color="auto"/>
              <w:bottom w:val="single" w:sz="4" w:space="0" w:color="auto"/>
              <w:right w:val="single" w:sz="4" w:space="0" w:color="auto"/>
            </w:tcBorders>
            <w:vAlign w:val="center"/>
          </w:tcPr>
          <w:p w:rsidR="00E37845" w:rsidRDefault="00E37845">
            <w:pPr>
              <w:adjustRightInd w:val="0"/>
              <w:snapToGrid w:val="0"/>
              <w:spacing w:line="578" w:lineRule="auto"/>
              <w:jc w:val="center"/>
              <w:outlineLvl w:val="0"/>
              <w:rPr>
                <w:rFonts w:ascii="仿宋_GB2312" w:eastAsia="仿宋_GB2312" w:hAnsi="仿宋_GB2312" w:cs="仿宋_GB2312"/>
                <w:color w:val="000000" w:themeColor="text1"/>
              </w:rPr>
            </w:pPr>
          </w:p>
        </w:tc>
        <w:tc>
          <w:tcPr>
            <w:tcW w:w="1449" w:type="dxa"/>
            <w:vMerge/>
            <w:tcBorders>
              <w:left w:val="nil"/>
              <w:bottom w:val="single" w:sz="4" w:space="0" w:color="auto"/>
              <w:right w:val="single" w:sz="4" w:space="0" w:color="auto"/>
            </w:tcBorders>
            <w:shd w:val="clear" w:color="auto" w:fill="auto"/>
            <w:vAlign w:val="center"/>
          </w:tcPr>
          <w:p w:rsidR="00E37845" w:rsidRDefault="00E37845">
            <w:pPr>
              <w:adjustRightInd w:val="0"/>
              <w:snapToGrid w:val="0"/>
              <w:spacing w:line="578" w:lineRule="auto"/>
              <w:jc w:val="center"/>
              <w:outlineLvl w:val="0"/>
              <w:rPr>
                <w:rFonts w:ascii="仿宋_GB2312" w:eastAsia="仿宋_GB2312" w:hAnsi="仿宋_GB2312" w:cs="仿宋_GB2312"/>
                <w:color w:val="000000" w:themeColor="text1"/>
              </w:rPr>
            </w:pPr>
          </w:p>
        </w:tc>
        <w:tc>
          <w:tcPr>
            <w:tcW w:w="1626" w:type="dxa"/>
            <w:tcBorders>
              <w:top w:val="single" w:sz="4" w:space="0" w:color="auto"/>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color w:val="000000" w:themeColor="text1"/>
              </w:rPr>
              <w:t>5天以上</w:t>
            </w:r>
          </w:p>
        </w:tc>
        <w:tc>
          <w:tcPr>
            <w:tcW w:w="1862" w:type="dxa"/>
            <w:tcBorders>
              <w:top w:val="single" w:sz="4" w:space="0" w:color="auto"/>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人事处</w:t>
            </w:r>
          </w:p>
        </w:tc>
        <w:tc>
          <w:tcPr>
            <w:tcW w:w="1779" w:type="dxa"/>
            <w:vMerge/>
            <w:tcBorders>
              <w:left w:val="nil"/>
              <w:bottom w:val="single" w:sz="4" w:space="0" w:color="auto"/>
              <w:right w:val="single" w:sz="4" w:space="0" w:color="auto"/>
            </w:tcBorders>
            <w:shd w:val="clear" w:color="auto" w:fill="auto"/>
            <w:vAlign w:val="center"/>
          </w:tcPr>
          <w:p w:rsidR="00E37845" w:rsidRDefault="00E37845">
            <w:pPr>
              <w:keepNext/>
              <w:keepLines/>
              <w:adjustRightInd w:val="0"/>
              <w:snapToGrid w:val="0"/>
              <w:spacing w:before="340" w:after="330"/>
              <w:jc w:val="center"/>
              <w:outlineLvl w:val="0"/>
              <w:rPr>
                <w:rFonts w:ascii="仿宋_GB2312" w:eastAsia="仿宋_GB2312" w:hAnsi="仿宋_GB2312" w:cs="仿宋_GB2312"/>
                <w:color w:val="000000" w:themeColor="text1"/>
              </w:rPr>
            </w:pPr>
          </w:p>
        </w:tc>
        <w:tc>
          <w:tcPr>
            <w:tcW w:w="941" w:type="dxa"/>
            <w:vMerge/>
            <w:tcBorders>
              <w:left w:val="single" w:sz="4" w:space="0" w:color="auto"/>
              <w:bottom w:val="single" w:sz="4" w:space="0" w:color="auto"/>
              <w:right w:val="single" w:sz="4" w:space="0" w:color="auto"/>
            </w:tcBorders>
            <w:vAlign w:val="center"/>
          </w:tcPr>
          <w:p w:rsidR="00E37845" w:rsidRDefault="00E37845">
            <w:pPr>
              <w:adjustRightInd w:val="0"/>
              <w:snapToGrid w:val="0"/>
              <w:jc w:val="center"/>
              <w:rPr>
                <w:rFonts w:ascii="仿宋_GB2312" w:eastAsia="仿宋_GB2312" w:hAnsi="仿宋_GB2312" w:cs="仿宋_GB2312"/>
                <w:color w:val="000000" w:themeColor="text1"/>
              </w:rPr>
            </w:pPr>
          </w:p>
        </w:tc>
      </w:tr>
      <w:tr w:rsidR="00E37845">
        <w:trPr>
          <w:trHeight w:hRule="exact" w:val="567"/>
          <w:jc w:val="center"/>
        </w:trPr>
        <w:tc>
          <w:tcPr>
            <w:tcW w:w="983" w:type="dxa"/>
            <w:tcBorders>
              <w:top w:val="nil"/>
              <w:left w:val="single" w:sz="4" w:space="0" w:color="auto"/>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婚假</w:t>
            </w:r>
          </w:p>
        </w:tc>
        <w:tc>
          <w:tcPr>
            <w:tcW w:w="1449" w:type="dxa"/>
            <w:tcBorders>
              <w:top w:val="nil"/>
              <w:left w:val="nil"/>
              <w:bottom w:val="single" w:sz="4" w:space="0" w:color="auto"/>
              <w:right w:val="single" w:sz="4" w:space="0" w:color="auto"/>
            </w:tcBorders>
            <w:shd w:val="clear" w:color="auto" w:fill="auto"/>
            <w:vAlign w:val="center"/>
          </w:tcPr>
          <w:p w:rsidR="00E37845" w:rsidRDefault="00E37845">
            <w:pPr>
              <w:keepNext/>
              <w:keepLines/>
              <w:adjustRightInd w:val="0"/>
              <w:snapToGrid w:val="0"/>
              <w:spacing w:before="340" w:after="330"/>
              <w:jc w:val="center"/>
              <w:outlineLvl w:val="0"/>
              <w:rPr>
                <w:rFonts w:ascii="仿宋_GB2312" w:eastAsia="仿宋_GB2312" w:hAnsi="仿宋_GB2312" w:cs="仿宋_GB2312"/>
                <w:color w:val="000000" w:themeColor="text1"/>
              </w:rPr>
            </w:pPr>
          </w:p>
        </w:tc>
        <w:tc>
          <w:tcPr>
            <w:tcW w:w="1626"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color w:val="000000" w:themeColor="text1"/>
              </w:rPr>
              <w:t>5天</w:t>
            </w:r>
          </w:p>
        </w:tc>
        <w:tc>
          <w:tcPr>
            <w:tcW w:w="1862" w:type="dxa"/>
            <w:vMerge w:val="restart"/>
            <w:tcBorders>
              <w:top w:val="nil"/>
              <w:left w:val="single" w:sz="4" w:space="0" w:color="auto"/>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二级单位领导</w:t>
            </w:r>
          </w:p>
        </w:tc>
        <w:tc>
          <w:tcPr>
            <w:tcW w:w="1779" w:type="dxa"/>
            <w:vMerge w:val="restart"/>
            <w:tcBorders>
              <w:top w:val="nil"/>
              <w:left w:val="single" w:sz="4" w:space="0" w:color="auto"/>
              <w:bottom w:val="single" w:sz="4" w:space="0" w:color="000000"/>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假期不含周六周日、法定节假日</w:t>
            </w:r>
          </w:p>
        </w:tc>
        <w:tc>
          <w:tcPr>
            <w:tcW w:w="941" w:type="dxa"/>
            <w:vMerge w:val="restart"/>
            <w:tcBorders>
              <w:top w:val="nil"/>
              <w:left w:val="single" w:sz="4" w:space="0" w:color="auto"/>
              <w:bottom w:val="single" w:sz="4" w:space="0" w:color="000000"/>
              <w:right w:val="single" w:sz="4" w:space="0" w:color="auto"/>
            </w:tcBorders>
            <w:shd w:val="clear" w:color="auto" w:fill="auto"/>
            <w:vAlign w:val="center"/>
          </w:tcPr>
          <w:p w:rsidR="00E37845" w:rsidRDefault="00E37845">
            <w:pPr>
              <w:adjustRightInd w:val="0"/>
              <w:snapToGrid w:val="0"/>
              <w:jc w:val="center"/>
              <w:rPr>
                <w:rFonts w:ascii="仿宋_GB2312" w:eastAsia="仿宋_GB2312" w:hAnsi="仿宋_GB2312" w:cs="仿宋_GB2312"/>
                <w:color w:val="000000" w:themeColor="text1"/>
              </w:rPr>
            </w:pPr>
          </w:p>
        </w:tc>
      </w:tr>
      <w:tr w:rsidR="00E37845">
        <w:trPr>
          <w:trHeight w:hRule="exact" w:val="567"/>
          <w:jc w:val="center"/>
        </w:trPr>
        <w:tc>
          <w:tcPr>
            <w:tcW w:w="983"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丧假</w:t>
            </w:r>
          </w:p>
        </w:tc>
        <w:tc>
          <w:tcPr>
            <w:tcW w:w="1449" w:type="dxa"/>
            <w:tcBorders>
              <w:top w:val="nil"/>
              <w:left w:val="nil"/>
              <w:bottom w:val="single" w:sz="4" w:space="0" w:color="auto"/>
              <w:right w:val="single" w:sz="4" w:space="0" w:color="auto"/>
            </w:tcBorders>
            <w:shd w:val="clear" w:color="auto" w:fill="auto"/>
            <w:vAlign w:val="center"/>
          </w:tcPr>
          <w:p w:rsidR="00E37845" w:rsidRDefault="00E37845">
            <w:pPr>
              <w:keepNext/>
              <w:keepLines/>
              <w:adjustRightInd w:val="0"/>
              <w:snapToGrid w:val="0"/>
              <w:spacing w:before="340" w:after="330"/>
              <w:jc w:val="center"/>
              <w:outlineLvl w:val="0"/>
              <w:rPr>
                <w:rFonts w:ascii="仿宋_GB2312" w:eastAsia="仿宋_GB2312" w:hAnsi="仿宋_GB2312" w:cs="仿宋_GB2312"/>
                <w:color w:val="000000" w:themeColor="text1"/>
              </w:rPr>
            </w:pPr>
          </w:p>
        </w:tc>
        <w:tc>
          <w:tcPr>
            <w:tcW w:w="1626"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color w:val="000000" w:themeColor="text1"/>
              </w:rPr>
              <w:t>5天</w:t>
            </w:r>
          </w:p>
        </w:tc>
        <w:tc>
          <w:tcPr>
            <w:tcW w:w="1862" w:type="dxa"/>
            <w:vMerge/>
            <w:tcBorders>
              <w:top w:val="nil"/>
              <w:left w:val="single" w:sz="4" w:space="0" w:color="auto"/>
              <w:bottom w:val="single" w:sz="4" w:space="0" w:color="auto"/>
              <w:right w:val="single" w:sz="4" w:space="0" w:color="auto"/>
            </w:tcBorders>
            <w:vAlign w:val="center"/>
          </w:tcPr>
          <w:p w:rsidR="00E37845" w:rsidRDefault="00E37845">
            <w:pPr>
              <w:keepNext/>
              <w:keepLines/>
              <w:adjustRightInd w:val="0"/>
              <w:snapToGrid w:val="0"/>
              <w:spacing w:before="340" w:after="330"/>
              <w:jc w:val="center"/>
              <w:outlineLvl w:val="0"/>
              <w:rPr>
                <w:rFonts w:ascii="仿宋_GB2312" w:eastAsia="仿宋_GB2312" w:hAnsi="仿宋_GB2312" w:cs="仿宋_GB2312"/>
                <w:color w:val="000000" w:themeColor="text1"/>
              </w:rPr>
            </w:pPr>
          </w:p>
        </w:tc>
        <w:tc>
          <w:tcPr>
            <w:tcW w:w="1779" w:type="dxa"/>
            <w:vMerge/>
            <w:tcBorders>
              <w:top w:val="nil"/>
              <w:left w:val="single" w:sz="4" w:space="0" w:color="auto"/>
              <w:bottom w:val="single" w:sz="4" w:space="0" w:color="000000"/>
              <w:right w:val="single" w:sz="4" w:space="0" w:color="auto"/>
            </w:tcBorders>
            <w:vAlign w:val="center"/>
          </w:tcPr>
          <w:p w:rsidR="00E37845" w:rsidRDefault="00E37845">
            <w:pPr>
              <w:keepNext/>
              <w:keepLines/>
              <w:adjustRightInd w:val="0"/>
              <w:snapToGrid w:val="0"/>
              <w:spacing w:before="340" w:after="330"/>
              <w:jc w:val="center"/>
              <w:outlineLvl w:val="0"/>
              <w:rPr>
                <w:rFonts w:ascii="仿宋_GB2312" w:eastAsia="仿宋_GB2312" w:hAnsi="仿宋_GB2312" w:cs="仿宋_GB2312"/>
                <w:color w:val="000000" w:themeColor="text1"/>
              </w:rPr>
            </w:pPr>
          </w:p>
        </w:tc>
        <w:tc>
          <w:tcPr>
            <w:tcW w:w="941" w:type="dxa"/>
            <w:vMerge/>
            <w:tcBorders>
              <w:top w:val="nil"/>
              <w:left w:val="single" w:sz="4" w:space="0" w:color="auto"/>
              <w:bottom w:val="single" w:sz="4" w:space="0" w:color="auto"/>
              <w:right w:val="single" w:sz="4" w:space="0" w:color="auto"/>
            </w:tcBorders>
            <w:vAlign w:val="center"/>
          </w:tcPr>
          <w:p w:rsidR="00E37845" w:rsidRDefault="00E37845">
            <w:pPr>
              <w:adjustRightInd w:val="0"/>
              <w:snapToGrid w:val="0"/>
              <w:jc w:val="center"/>
              <w:rPr>
                <w:rFonts w:ascii="仿宋_GB2312" w:eastAsia="仿宋_GB2312" w:hAnsi="仿宋_GB2312" w:cs="仿宋_GB2312"/>
                <w:color w:val="000000" w:themeColor="text1"/>
              </w:rPr>
            </w:pPr>
          </w:p>
        </w:tc>
      </w:tr>
      <w:tr w:rsidR="00E37845">
        <w:trPr>
          <w:trHeight w:val="470"/>
          <w:jc w:val="center"/>
        </w:trPr>
        <w:tc>
          <w:tcPr>
            <w:tcW w:w="983" w:type="dxa"/>
            <w:vMerge w:val="restart"/>
            <w:tcBorders>
              <w:top w:val="nil"/>
              <w:left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产假</w:t>
            </w:r>
          </w:p>
        </w:tc>
        <w:tc>
          <w:tcPr>
            <w:tcW w:w="1449"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顺产</w:t>
            </w:r>
          </w:p>
        </w:tc>
        <w:tc>
          <w:tcPr>
            <w:tcW w:w="1626"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color w:val="000000" w:themeColor="text1"/>
              </w:rPr>
              <w:t>178天</w:t>
            </w:r>
          </w:p>
        </w:tc>
        <w:tc>
          <w:tcPr>
            <w:tcW w:w="1862" w:type="dxa"/>
            <w:vMerge w:val="restart"/>
            <w:tcBorders>
              <w:top w:val="nil"/>
              <w:left w:val="single" w:sz="4" w:space="0" w:color="auto"/>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二级单位领导</w:t>
            </w:r>
          </w:p>
        </w:tc>
        <w:tc>
          <w:tcPr>
            <w:tcW w:w="1779" w:type="dxa"/>
            <w:vMerge w:val="restart"/>
            <w:tcBorders>
              <w:top w:val="nil"/>
              <w:left w:val="single" w:sz="4" w:space="0" w:color="auto"/>
              <w:bottom w:val="single" w:sz="4" w:space="0" w:color="000000"/>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寒、暑假顺延</w:t>
            </w:r>
          </w:p>
        </w:tc>
        <w:tc>
          <w:tcPr>
            <w:tcW w:w="941" w:type="dxa"/>
            <w:vMerge w:val="restart"/>
            <w:tcBorders>
              <w:top w:val="single" w:sz="4" w:space="0" w:color="auto"/>
              <w:left w:val="single" w:sz="4" w:space="0" w:color="auto"/>
              <w:bottom w:val="single" w:sz="4" w:space="0" w:color="000000"/>
              <w:right w:val="single" w:sz="4" w:space="0" w:color="auto"/>
            </w:tcBorders>
            <w:vAlign w:val="center"/>
          </w:tcPr>
          <w:p w:rsidR="00E37845" w:rsidRDefault="00E37845">
            <w:pPr>
              <w:adjustRightInd w:val="0"/>
              <w:snapToGrid w:val="0"/>
              <w:jc w:val="center"/>
              <w:rPr>
                <w:rFonts w:ascii="仿宋_GB2312" w:eastAsia="仿宋_GB2312" w:hAnsi="仿宋_GB2312" w:cs="仿宋_GB2312"/>
                <w:color w:val="000000" w:themeColor="text1"/>
              </w:rPr>
            </w:pPr>
          </w:p>
        </w:tc>
      </w:tr>
      <w:tr w:rsidR="00E37845">
        <w:trPr>
          <w:trHeight w:val="477"/>
          <w:jc w:val="center"/>
        </w:trPr>
        <w:tc>
          <w:tcPr>
            <w:tcW w:w="983" w:type="dxa"/>
            <w:vMerge/>
            <w:tcBorders>
              <w:left w:val="single" w:sz="4" w:space="0" w:color="auto"/>
              <w:bottom w:val="single" w:sz="4" w:space="0" w:color="auto"/>
              <w:right w:val="single" w:sz="4" w:space="0" w:color="auto"/>
            </w:tcBorders>
            <w:shd w:val="clear" w:color="auto" w:fill="auto"/>
            <w:vAlign w:val="center"/>
          </w:tcPr>
          <w:p w:rsidR="00E37845" w:rsidRDefault="00E37845">
            <w:pPr>
              <w:adjustRightInd w:val="0"/>
              <w:snapToGrid w:val="0"/>
              <w:spacing w:line="578" w:lineRule="auto"/>
              <w:jc w:val="center"/>
              <w:outlineLvl w:val="0"/>
              <w:rPr>
                <w:rFonts w:ascii="仿宋_GB2312" w:eastAsia="仿宋_GB2312" w:hAnsi="仿宋_GB2312" w:cs="仿宋_GB2312"/>
                <w:color w:val="000000" w:themeColor="text1"/>
              </w:rPr>
            </w:pPr>
          </w:p>
        </w:tc>
        <w:tc>
          <w:tcPr>
            <w:tcW w:w="1449"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剖宫产</w:t>
            </w:r>
          </w:p>
        </w:tc>
        <w:tc>
          <w:tcPr>
            <w:tcW w:w="1626"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增加</w:t>
            </w:r>
            <w:r>
              <w:rPr>
                <w:rFonts w:ascii="仿宋_GB2312" w:eastAsia="仿宋_GB2312" w:hAnsi="仿宋_GB2312" w:cs="仿宋_GB2312"/>
                <w:color w:val="000000" w:themeColor="text1"/>
              </w:rPr>
              <w:t>30天</w:t>
            </w:r>
          </w:p>
        </w:tc>
        <w:tc>
          <w:tcPr>
            <w:tcW w:w="1862" w:type="dxa"/>
            <w:vMerge/>
            <w:tcBorders>
              <w:top w:val="nil"/>
              <w:left w:val="single" w:sz="4" w:space="0" w:color="auto"/>
              <w:bottom w:val="single" w:sz="4" w:space="0" w:color="auto"/>
              <w:right w:val="single" w:sz="4" w:space="0" w:color="auto"/>
            </w:tcBorders>
            <w:vAlign w:val="center"/>
          </w:tcPr>
          <w:p w:rsidR="00E37845" w:rsidRDefault="00E37845">
            <w:pPr>
              <w:keepNext/>
              <w:keepLines/>
              <w:adjustRightInd w:val="0"/>
              <w:snapToGrid w:val="0"/>
              <w:spacing w:before="340" w:after="330"/>
              <w:jc w:val="center"/>
              <w:outlineLvl w:val="0"/>
              <w:rPr>
                <w:rFonts w:ascii="仿宋_GB2312" w:eastAsia="仿宋_GB2312" w:hAnsi="仿宋_GB2312" w:cs="仿宋_GB2312"/>
                <w:color w:val="000000" w:themeColor="text1"/>
              </w:rPr>
            </w:pPr>
          </w:p>
        </w:tc>
        <w:tc>
          <w:tcPr>
            <w:tcW w:w="1779" w:type="dxa"/>
            <w:vMerge/>
            <w:tcBorders>
              <w:top w:val="nil"/>
              <w:left w:val="single" w:sz="4" w:space="0" w:color="auto"/>
              <w:bottom w:val="single" w:sz="4" w:space="0" w:color="000000"/>
              <w:right w:val="single" w:sz="4" w:space="0" w:color="auto"/>
            </w:tcBorders>
            <w:vAlign w:val="center"/>
          </w:tcPr>
          <w:p w:rsidR="00E37845" w:rsidRDefault="00E37845">
            <w:pPr>
              <w:keepNext/>
              <w:keepLines/>
              <w:adjustRightInd w:val="0"/>
              <w:snapToGrid w:val="0"/>
              <w:spacing w:before="340" w:after="330"/>
              <w:jc w:val="center"/>
              <w:outlineLvl w:val="0"/>
              <w:rPr>
                <w:rFonts w:ascii="仿宋_GB2312" w:eastAsia="仿宋_GB2312" w:hAnsi="仿宋_GB2312" w:cs="仿宋_GB2312"/>
                <w:color w:val="000000" w:themeColor="text1"/>
              </w:rPr>
            </w:pPr>
          </w:p>
        </w:tc>
        <w:tc>
          <w:tcPr>
            <w:tcW w:w="941" w:type="dxa"/>
            <w:vMerge/>
            <w:tcBorders>
              <w:top w:val="nil"/>
              <w:left w:val="single" w:sz="4" w:space="0" w:color="auto"/>
              <w:bottom w:val="single" w:sz="4" w:space="0" w:color="000000"/>
              <w:right w:val="single" w:sz="4" w:space="0" w:color="auto"/>
            </w:tcBorders>
            <w:vAlign w:val="center"/>
          </w:tcPr>
          <w:p w:rsidR="00E37845" w:rsidRDefault="00E37845">
            <w:pPr>
              <w:adjustRightInd w:val="0"/>
              <w:snapToGrid w:val="0"/>
              <w:jc w:val="center"/>
              <w:rPr>
                <w:rFonts w:ascii="仿宋_GB2312" w:eastAsia="仿宋_GB2312" w:hAnsi="仿宋_GB2312" w:cs="仿宋_GB2312"/>
                <w:color w:val="000000" w:themeColor="text1"/>
              </w:rPr>
            </w:pPr>
          </w:p>
        </w:tc>
      </w:tr>
      <w:tr w:rsidR="00E37845">
        <w:trPr>
          <w:trHeight w:val="466"/>
          <w:jc w:val="center"/>
        </w:trPr>
        <w:tc>
          <w:tcPr>
            <w:tcW w:w="983" w:type="dxa"/>
            <w:vMerge w:val="restart"/>
            <w:tcBorders>
              <w:top w:val="nil"/>
              <w:left w:val="single" w:sz="4" w:space="0" w:color="auto"/>
              <w:bottom w:val="single" w:sz="4" w:space="0" w:color="000000"/>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看护假</w:t>
            </w:r>
          </w:p>
        </w:tc>
        <w:tc>
          <w:tcPr>
            <w:tcW w:w="1449"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流产（配偶）</w:t>
            </w:r>
          </w:p>
        </w:tc>
        <w:tc>
          <w:tcPr>
            <w:tcW w:w="1626"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color w:val="000000" w:themeColor="text1"/>
              </w:rPr>
              <w:t>1－5天</w:t>
            </w:r>
          </w:p>
        </w:tc>
        <w:tc>
          <w:tcPr>
            <w:tcW w:w="1862"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二级单位领导</w:t>
            </w:r>
          </w:p>
        </w:tc>
        <w:tc>
          <w:tcPr>
            <w:tcW w:w="1779" w:type="dxa"/>
            <w:vMerge w:val="restart"/>
            <w:tcBorders>
              <w:top w:val="nil"/>
              <w:left w:val="nil"/>
              <w:right w:val="single" w:sz="4" w:space="0" w:color="auto"/>
            </w:tcBorders>
            <w:shd w:val="clear" w:color="auto" w:fill="auto"/>
            <w:vAlign w:val="center"/>
          </w:tcPr>
          <w:p w:rsidR="00E37845" w:rsidRDefault="00E37845">
            <w:pPr>
              <w:keepNext/>
              <w:keepLines/>
              <w:adjustRightInd w:val="0"/>
              <w:snapToGrid w:val="0"/>
              <w:spacing w:before="340" w:after="330"/>
              <w:jc w:val="center"/>
              <w:outlineLvl w:val="0"/>
              <w:rPr>
                <w:rFonts w:ascii="仿宋_GB2312" w:eastAsia="仿宋_GB2312" w:hAnsi="仿宋_GB2312" w:cs="仿宋_GB2312"/>
                <w:color w:val="000000" w:themeColor="text1"/>
              </w:rPr>
            </w:pPr>
          </w:p>
        </w:tc>
        <w:tc>
          <w:tcPr>
            <w:tcW w:w="941" w:type="dxa"/>
            <w:vMerge/>
            <w:tcBorders>
              <w:top w:val="nil"/>
              <w:left w:val="single" w:sz="4" w:space="0" w:color="auto"/>
              <w:bottom w:val="single" w:sz="4" w:space="0" w:color="000000"/>
              <w:right w:val="single" w:sz="4" w:space="0" w:color="auto"/>
            </w:tcBorders>
            <w:vAlign w:val="center"/>
          </w:tcPr>
          <w:p w:rsidR="00E37845" w:rsidRDefault="00E37845">
            <w:pPr>
              <w:adjustRightInd w:val="0"/>
              <w:snapToGrid w:val="0"/>
              <w:jc w:val="center"/>
              <w:rPr>
                <w:rFonts w:ascii="仿宋_GB2312" w:eastAsia="仿宋_GB2312" w:hAnsi="仿宋_GB2312" w:cs="仿宋_GB2312"/>
                <w:color w:val="000000" w:themeColor="text1"/>
              </w:rPr>
            </w:pPr>
          </w:p>
        </w:tc>
      </w:tr>
      <w:tr w:rsidR="00E37845">
        <w:trPr>
          <w:trHeight w:val="520"/>
          <w:jc w:val="center"/>
        </w:trPr>
        <w:tc>
          <w:tcPr>
            <w:tcW w:w="983" w:type="dxa"/>
            <w:vMerge/>
            <w:tcBorders>
              <w:top w:val="nil"/>
              <w:left w:val="single" w:sz="4" w:space="0" w:color="auto"/>
              <w:bottom w:val="single" w:sz="4" w:space="0" w:color="000000"/>
              <w:right w:val="single" w:sz="4" w:space="0" w:color="auto"/>
            </w:tcBorders>
            <w:vAlign w:val="center"/>
          </w:tcPr>
          <w:p w:rsidR="00E37845" w:rsidRDefault="00E37845">
            <w:pPr>
              <w:adjustRightInd w:val="0"/>
              <w:snapToGrid w:val="0"/>
              <w:spacing w:line="578" w:lineRule="auto"/>
              <w:jc w:val="center"/>
              <w:outlineLvl w:val="0"/>
              <w:rPr>
                <w:rFonts w:ascii="仿宋_GB2312" w:eastAsia="仿宋_GB2312" w:hAnsi="仿宋_GB2312" w:cs="仿宋_GB2312"/>
                <w:color w:val="000000" w:themeColor="text1"/>
              </w:rPr>
            </w:pPr>
          </w:p>
        </w:tc>
        <w:tc>
          <w:tcPr>
            <w:tcW w:w="1449"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陪产</w:t>
            </w:r>
          </w:p>
        </w:tc>
        <w:tc>
          <w:tcPr>
            <w:tcW w:w="1626"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color w:val="000000" w:themeColor="text1"/>
              </w:rPr>
              <w:t>15天</w:t>
            </w:r>
          </w:p>
        </w:tc>
        <w:tc>
          <w:tcPr>
            <w:tcW w:w="1862"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二级单位领导</w:t>
            </w:r>
          </w:p>
        </w:tc>
        <w:tc>
          <w:tcPr>
            <w:tcW w:w="1779" w:type="dxa"/>
            <w:vMerge/>
            <w:tcBorders>
              <w:left w:val="nil"/>
              <w:bottom w:val="single" w:sz="4" w:space="0" w:color="auto"/>
              <w:right w:val="single" w:sz="4" w:space="0" w:color="auto"/>
            </w:tcBorders>
            <w:shd w:val="clear" w:color="auto" w:fill="auto"/>
            <w:vAlign w:val="center"/>
          </w:tcPr>
          <w:p w:rsidR="00E37845" w:rsidRDefault="00E37845">
            <w:pPr>
              <w:keepNext/>
              <w:keepLines/>
              <w:adjustRightInd w:val="0"/>
              <w:snapToGrid w:val="0"/>
              <w:spacing w:before="340" w:after="330"/>
              <w:jc w:val="center"/>
              <w:outlineLvl w:val="0"/>
              <w:rPr>
                <w:rFonts w:ascii="仿宋_GB2312" w:eastAsia="仿宋_GB2312" w:hAnsi="仿宋_GB2312" w:cs="仿宋_GB2312"/>
                <w:color w:val="000000" w:themeColor="text1"/>
              </w:rPr>
            </w:pPr>
          </w:p>
        </w:tc>
        <w:tc>
          <w:tcPr>
            <w:tcW w:w="941" w:type="dxa"/>
            <w:vMerge/>
            <w:tcBorders>
              <w:top w:val="nil"/>
              <w:left w:val="single" w:sz="4" w:space="0" w:color="auto"/>
              <w:bottom w:val="single" w:sz="4" w:space="0" w:color="000000"/>
              <w:right w:val="single" w:sz="4" w:space="0" w:color="auto"/>
            </w:tcBorders>
            <w:vAlign w:val="center"/>
          </w:tcPr>
          <w:p w:rsidR="00E37845" w:rsidRDefault="00E37845">
            <w:pPr>
              <w:adjustRightInd w:val="0"/>
              <w:snapToGrid w:val="0"/>
              <w:jc w:val="center"/>
              <w:rPr>
                <w:rFonts w:ascii="仿宋_GB2312" w:eastAsia="仿宋_GB2312" w:hAnsi="仿宋_GB2312" w:cs="仿宋_GB2312"/>
                <w:color w:val="000000" w:themeColor="text1"/>
              </w:rPr>
            </w:pPr>
          </w:p>
        </w:tc>
      </w:tr>
      <w:tr w:rsidR="00E37845">
        <w:trPr>
          <w:trHeight w:val="693"/>
          <w:jc w:val="center"/>
        </w:trPr>
        <w:tc>
          <w:tcPr>
            <w:tcW w:w="983" w:type="dxa"/>
            <w:tcBorders>
              <w:top w:val="nil"/>
              <w:left w:val="single" w:sz="4" w:space="0" w:color="auto"/>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护理假</w:t>
            </w:r>
          </w:p>
        </w:tc>
        <w:tc>
          <w:tcPr>
            <w:tcW w:w="1449" w:type="dxa"/>
            <w:tcBorders>
              <w:top w:val="nil"/>
              <w:left w:val="nil"/>
              <w:bottom w:val="single" w:sz="4" w:space="0" w:color="auto"/>
              <w:right w:val="single" w:sz="4" w:space="0" w:color="auto"/>
            </w:tcBorders>
            <w:shd w:val="clear" w:color="auto" w:fill="auto"/>
            <w:vAlign w:val="center"/>
          </w:tcPr>
          <w:p w:rsidR="00E37845" w:rsidRDefault="00E37845">
            <w:pPr>
              <w:adjustRightInd w:val="0"/>
              <w:snapToGrid w:val="0"/>
              <w:jc w:val="center"/>
              <w:rPr>
                <w:rFonts w:ascii="仿宋_GB2312" w:eastAsia="仿宋_GB2312" w:hAnsi="仿宋_GB2312" w:cs="仿宋_GB2312"/>
                <w:color w:val="000000" w:themeColor="text1"/>
              </w:rPr>
            </w:pPr>
          </w:p>
        </w:tc>
        <w:tc>
          <w:tcPr>
            <w:tcW w:w="1626"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年累计</w:t>
            </w:r>
            <w:r>
              <w:rPr>
                <w:rFonts w:ascii="仿宋_GB2312" w:eastAsia="仿宋_GB2312" w:hAnsi="仿宋_GB2312" w:cs="仿宋_GB2312"/>
                <w:color w:val="000000" w:themeColor="text1"/>
              </w:rPr>
              <w:t>15天</w:t>
            </w:r>
          </w:p>
        </w:tc>
        <w:tc>
          <w:tcPr>
            <w:tcW w:w="1862"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二级单位领导</w:t>
            </w:r>
          </w:p>
        </w:tc>
        <w:tc>
          <w:tcPr>
            <w:tcW w:w="1779"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独生子女父母满</w:t>
            </w:r>
            <w:r>
              <w:rPr>
                <w:rFonts w:ascii="仿宋_GB2312" w:eastAsia="仿宋_GB2312" w:hAnsi="仿宋_GB2312" w:cs="仿宋_GB2312"/>
                <w:color w:val="000000" w:themeColor="text1"/>
              </w:rPr>
              <w:t>60周岁住院期间</w:t>
            </w:r>
          </w:p>
        </w:tc>
        <w:tc>
          <w:tcPr>
            <w:tcW w:w="941" w:type="dxa"/>
            <w:vMerge/>
            <w:tcBorders>
              <w:top w:val="nil"/>
              <w:left w:val="single" w:sz="4" w:space="0" w:color="auto"/>
              <w:bottom w:val="single" w:sz="4" w:space="0" w:color="000000"/>
              <w:right w:val="single" w:sz="4" w:space="0" w:color="auto"/>
            </w:tcBorders>
            <w:vAlign w:val="center"/>
          </w:tcPr>
          <w:p w:rsidR="00E37845" w:rsidRDefault="00E37845">
            <w:pPr>
              <w:adjustRightInd w:val="0"/>
              <w:snapToGrid w:val="0"/>
              <w:jc w:val="center"/>
              <w:rPr>
                <w:rFonts w:ascii="仿宋_GB2312" w:eastAsia="仿宋_GB2312" w:hAnsi="仿宋_GB2312" w:cs="仿宋_GB2312"/>
                <w:color w:val="000000" w:themeColor="text1"/>
              </w:rPr>
            </w:pPr>
          </w:p>
        </w:tc>
      </w:tr>
      <w:tr w:rsidR="00E37845">
        <w:trPr>
          <w:trHeight w:val="481"/>
          <w:jc w:val="center"/>
        </w:trPr>
        <w:tc>
          <w:tcPr>
            <w:tcW w:w="983" w:type="dxa"/>
            <w:tcBorders>
              <w:top w:val="nil"/>
              <w:left w:val="single" w:sz="4" w:space="0" w:color="auto"/>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哺乳假</w:t>
            </w:r>
          </w:p>
        </w:tc>
        <w:tc>
          <w:tcPr>
            <w:tcW w:w="1449" w:type="dxa"/>
            <w:tcBorders>
              <w:top w:val="nil"/>
              <w:left w:val="nil"/>
              <w:bottom w:val="single" w:sz="4" w:space="0" w:color="auto"/>
              <w:right w:val="single" w:sz="4" w:space="0" w:color="auto"/>
            </w:tcBorders>
            <w:shd w:val="clear" w:color="auto" w:fill="auto"/>
            <w:vAlign w:val="center"/>
          </w:tcPr>
          <w:p w:rsidR="00E37845" w:rsidRDefault="00E37845">
            <w:pPr>
              <w:adjustRightInd w:val="0"/>
              <w:snapToGrid w:val="0"/>
              <w:jc w:val="center"/>
              <w:rPr>
                <w:rFonts w:ascii="仿宋_GB2312" w:eastAsia="仿宋_GB2312" w:hAnsi="仿宋_GB2312" w:cs="仿宋_GB2312"/>
                <w:color w:val="000000" w:themeColor="text1"/>
              </w:rPr>
            </w:pPr>
          </w:p>
        </w:tc>
        <w:tc>
          <w:tcPr>
            <w:tcW w:w="1626"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至小孩</w:t>
            </w:r>
            <w:r>
              <w:rPr>
                <w:rFonts w:ascii="仿宋_GB2312" w:eastAsia="仿宋_GB2312" w:hAnsi="仿宋_GB2312" w:cs="仿宋_GB2312"/>
                <w:color w:val="000000" w:themeColor="text1"/>
              </w:rPr>
              <w:t>1周岁</w:t>
            </w:r>
          </w:p>
        </w:tc>
        <w:tc>
          <w:tcPr>
            <w:tcW w:w="1862"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主管校领导</w:t>
            </w:r>
          </w:p>
        </w:tc>
        <w:tc>
          <w:tcPr>
            <w:tcW w:w="1779" w:type="dxa"/>
            <w:tcBorders>
              <w:top w:val="nil"/>
              <w:left w:val="nil"/>
              <w:bottom w:val="single" w:sz="4" w:space="0" w:color="auto"/>
              <w:right w:val="single" w:sz="4" w:space="0" w:color="auto"/>
            </w:tcBorders>
            <w:shd w:val="clear" w:color="auto" w:fill="auto"/>
            <w:vAlign w:val="center"/>
          </w:tcPr>
          <w:p w:rsidR="00E37845" w:rsidRDefault="00E37845">
            <w:pPr>
              <w:adjustRightInd w:val="0"/>
              <w:snapToGrid w:val="0"/>
              <w:jc w:val="center"/>
              <w:rPr>
                <w:rFonts w:ascii="仿宋_GB2312" w:eastAsia="仿宋_GB2312" w:hAnsi="仿宋_GB2312" w:cs="仿宋_GB2312"/>
                <w:color w:val="000000" w:themeColor="text1"/>
              </w:rPr>
            </w:pPr>
          </w:p>
        </w:tc>
        <w:tc>
          <w:tcPr>
            <w:tcW w:w="941" w:type="dxa"/>
            <w:vMerge/>
            <w:tcBorders>
              <w:top w:val="nil"/>
              <w:left w:val="single" w:sz="4" w:space="0" w:color="auto"/>
              <w:bottom w:val="single" w:sz="4" w:space="0" w:color="000000"/>
              <w:right w:val="single" w:sz="4" w:space="0" w:color="auto"/>
            </w:tcBorders>
            <w:vAlign w:val="center"/>
          </w:tcPr>
          <w:p w:rsidR="00E37845" w:rsidRDefault="00E37845">
            <w:pPr>
              <w:adjustRightInd w:val="0"/>
              <w:snapToGrid w:val="0"/>
              <w:jc w:val="center"/>
              <w:rPr>
                <w:rFonts w:ascii="仿宋_GB2312" w:eastAsia="仿宋_GB2312" w:hAnsi="仿宋_GB2312" w:cs="仿宋_GB2312"/>
                <w:color w:val="000000" w:themeColor="text1"/>
              </w:rPr>
            </w:pPr>
          </w:p>
        </w:tc>
      </w:tr>
      <w:tr w:rsidR="00E37845">
        <w:trPr>
          <w:trHeight w:val="458"/>
          <w:jc w:val="center"/>
        </w:trPr>
        <w:tc>
          <w:tcPr>
            <w:tcW w:w="983" w:type="dxa"/>
            <w:vMerge w:val="restart"/>
            <w:tcBorders>
              <w:top w:val="nil"/>
              <w:left w:val="single" w:sz="4" w:space="0" w:color="auto"/>
              <w:bottom w:val="single" w:sz="4" w:space="0" w:color="000000"/>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节育手术假</w:t>
            </w:r>
          </w:p>
        </w:tc>
        <w:tc>
          <w:tcPr>
            <w:tcW w:w="1449"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流产</w:t>
            </w:r>
          </w:p>
        </w:tc>
        <w:tc>
          <w:tcPr>
            <w:tcW w:w="1626"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color w:val="000000" w:themeColor="text1"/>
              </w:rPr>
              <w:t>15－75天</w:t>
            </w:r>
          </w:p>
        </w:tc>
        <w:tc>
          <w:tcPr>
            <w:tcW w:w="1862"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二级单位领导</w:t>
            </w:r>
          </w:p>
        </w:tc>
        <w:tc>
          <w:tcPr>
            <w:tcW w:w="1779" w:type="dxa"/>
            <w:vMerge w:val="restart"/>
            <w:tcBorders>
              <w:top w:val="nil"/>
              <w:left w:val="nil"/>
              <w:right w:val="single" w:sz="4" w:space="0" w:color="auto"/>
            </w:tcBorders>
            <w:shd w:val="clear" w:color="auto" w:fill="auto"/>
            <w:vAlign w:val="center"/>
          </w:tcPr>
          <w:p w:rsidR="00E37845" w:rsidRDefault="00E37845">
            <w:pPr>
              <w:adjustRightInd w:val="0"/>
              <w:snapToGrid w:val="0"/>
              <w:jc w:val="center"/>
              <w:rPr>
                <w:rFonts w:ascii="仿宋_GB2312" w:eastAsia="仿宋_GB2312" w:hAnsi="仿宋_GB2312" w:cs="仿宋_GB2312"/>
                <w:color w:val="000000" w:themeColor="text1"/>
              </w:rPr>
            </w:pPr>
          </w:p>
        </w:tc>
        <w:tc>
          <w:tcPr>
            <w:tcW w:w="941" w:type="dxa"/>
            <w:vMerge/>
            <w:tcBorders>
              <w:top w:val="nil"/>
              <w:left w:val="single" w:sz="4" w:space="0" w:color="auto"/>
              <w:bottom w:val="single" w:sz="4" w:space="0" w:color="000000"/>
              <w:right w:val="single" w:sz="4" w:space="0" w:color="auto"/>
            </w:tcBorders>
            <w:vAlign w:val="center"/>
          </w:tcPr>
          <w:p w:rsidR="00E37845" w:rsidRDefault="00E37845">
            <w:pPr>
              <w:adjustRightInd w:val="0"/>
              <w:snapToGrid w:val="0"/>
              <w:jc w:val="center"/>
              <w:rPr>
                <w:rFonts w:ascii="仿宋_GB2312" w:eastAsia="仿宋_GB2312" w:hAnsi="仿宋_GB2312" w:cs="仿宋_GB2312"/>
                <w:color w:val="000000" w:themeColor="text1"/>
              </w:rPr>
            </w:pPr>
          </w:p>
        </w:tc>
      </w:tr>
      <w:tr w:rsidR="00E37845">
        <w:trPr>
          <w:trHeight w:val="1490"/>
          <w:jc w:val="center"/>
        </w:trPr>
        <w:tc>
          <w:tcPr>
            <w:tcW w:w="983" w:type="dxa"/>
            <w:vMerge/>
            <w:tcBorders>
              <w:top w:val="nil"/>
              <w:left w:val="single" w:sz="4" w:space="0" w:color="auto"/>
              <w:bottom w:val="single" w:sz="4" w:space="0" w:color="000000"/>
              <w:right w:val="single" w:sz="4" w:space="0" w:color="auto"/>
            </w:tcBorders>
            <w:vAlign w:val="center"/>
          </w:tcPr>
          <w:p w:rsidR="00E37845" w:rsidRDefault="00E37845">
            <w:pPr>
              <w:adjustRightInd w:val="0"/>
              <w:snapToGrid w:val="0"/>
              <w:spacing w:line="578" w:lineRule="auto"/>
              <w:jc w:val="center"/>
              <w:outlineLvl w:val="0"/>
              <w:rPr>
                <w:rFonts w:ascii="仿宋_GB2312" w:eastAsia="仿宋_GB2312" w:hAnsi="仿宋_GB2312" w:cs="仿宋_GB2312"/>
                <w:color w:val="000000" w:themeColor="text1"/>
              </w:rPr>
            </w:pPr>
          </w:p>
        </w:tc>
        <w:tc>
          <w:tcPr>
            <w:tcW w:w="1449"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放、取节育器，结扎和复通术，皮下埋植和皮埋剂取出。</w:t>
            </w:r>
          </w:p>
        </w:tc>
        <w:tc>
          <w:tcPr>
            <w:tcW w:w="1626"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color w:val="000000" w:themeColor="text1"/>
              </w:rPr>
              <w:t>2－14天</w:t>
            </w:r>
          </w:p>
        </w:tc>
        <w:tc>
          <w:tcPr>
            <w:tcW w:w="1862"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二级单位领导</w:t>
            </w:r>
          </w:p>
        </w:tc>
        <w:tc>
          <w:tcPr>
            <w:tcW w:w="1779" w:type="dxa"/>
            <w:vMerge/>
            <w:tcBorders>
              <w:left w:val="nil"/>
              <w:bottom w:val="single" w:sz="4" w:space="0" w:color="auto"/>
              <w:right w:val="single" w:sz="4" w:space="0" w:color="auto"/>
            </w:tcBorders>
            <w:shd w:val="clear" w:color="auto" w:fill="auto"/>
            <w:vAlign w:val="center"/>
          </w:tcPr>
          <w:p w:rsidR="00E37845" w:rsidRDefault="00E37845">
            <w:pPr>
              <w:adjustRightInd w:val="0"/>
              <w:snapToGrid w:val="0"/>
              <w:jc w:val="center"/>
              <w:rPr>
                <w:rFonts w:ascii="仿宋_GB2312" w:eastAsia="仿宋_GB2312" w:hAnsi="仿宋_GB2312" w:cs="仿宋_GB2312"/>
                <w:color w:val="000000" w:themeColor="text1"/>
              </w:rPr>
            </w:pPr>
          </w:p>
        </w:tc>
        <w:tc>
          <w:tcPr>
            <w:tcW w:w="941" w:type="dxa"/>
            <w:vMerge/>
            <w:tcBorders>
              <w:top w:val="nil"/>
              <w:left w:val="single" w:sz="4" w:space="0" w:color="auto"/>
              <w:bottom w:val="single" w:sz="4" w:space="0" w:color="000000"/>
              <w:right w:val="single" w:sz="4" w:space="0" w:color="auto"/>
            </w:tcBorders>
            <w:vAlign w:val="center"/>
          </w:tcPr>
          <w:p w:rsidR="00E37845" w:rsidRDefault="00E37845">
            <w:pPr>
              <w:adjustRightInd w:val="0"/>
              <w:snapToGrid w:val="0"/>
              <w:jc w:val="center"/>
              <w:rPr>
                <w:rFonts w:ascii="仿宋_GB2312" w:eastAsia="仿宋_GB2312" w:hAnsi="仿宋_GB2312" w:cs="仿宋_GB2312"/>
                <w:color w:val="000000" w:themeColor="text1"/>
              </w:rPr>
            </w:pPr>
          </w:p>
        </w:tc>
      </w:tr>
      <w:tr w:rsidR="00E37845">
        <w:trPr>
          <w:trHeight w:val="1192"/>
          <w:jc w:val="center"/>
        </w:trPr>
        <w:tc>
          <w:tcPr>
            <w:tcW w:w="983" w:type="dxa"/>
            <w:tcBorders>
              <w:top w:val="nil"/>
              <w:left w:val="single" w:sz="4" w:space="0" w:color="auto"/>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探亲假</w:t>
            </w:r>
          </w:p>
        </w:tc>
        <w:tc>
          <w:tcPr>
            <w:tcW w:w="1449" w:type="dxa"/>
            <w:tcBorders>
              <w:top w:val="nil"/>
              <w:left w:val="nil"/>
              <w:bottom w:val="single" w:sz="4" w:space="0" w:color="auto"/>
              <w:right w:val="single" w:sz="4" w:space="0" w:color="auto"/>
            </w:tcBorders>
            <w:shd w:val="clear" w:color="auto" w:fill="auto"/>
            <w:vAlign w:val="center"/>
          </w:tcPr>
          <w:p w:rsidR="00E37845" w:rsidRDefault="00E37845">
            <w:pPr>
              <w:keepNext/>
              <w:keepLines/>
              <w:adjustRightInd w:val="0"/>
              <w:snapToGrid w:val="0"/>
              <w:spacing w:before="340" w:after="330"/>
              <w:jc w:val="center"/>
              <w:outlineLvl w:val="0"/>
              <w:rPr>
                <w:rFonts w:ascii="仿宋_GB2312" w:eastAsia="仿宋_GB2312" w:hAnsi="仿宋_GB2312" w:cs="仿宋_GB2312"/>
                <w:color w:val="000000" w:themeColor="text1"/>
              </w:rPr>
            </w:pPr>
          </w:p>
        </w:tc>
        <w:tc>
          <w:tcPr>
            <w:tcW w:w="1626" w:type="dxa"/>
            <w:tcBorders>
              <w:top w:val="nil"/>
              <w:left w:val="nil"/>
              <w:bottom w:val="single" w:sz="4" w:space="0" w:color="auto"/>
              <w:right w:val="single" w:sz="4" w:space="0" w:color="auto"/>
            </w:tcBorders>
            <w:shd w:val="clear" w:color="auto" w:fill="auto"/>
            <w:vAlign w:val="center"/>
          </w:tcPr>
          <w:p w:rsidR="00E37845" w:rsidRDefault="00E37845">
            <w:pPr>
              <w:keepNext/>
              <w:keepLines/>
              <w:adjustRightInd w:val="0"/>
              <w:snapToGrid w:val="0"/>
              <w:spacing w:before="340" w:after="330"/>
              <w:jc w:val="center"/>
              <w:outlineLvl w:val="0"/>
              <w:rPr>
                <w:rFonts w:ascii="仿宋_GB2312" w:eastAsia="仿宋_GB2312" w:hAnsi="仿宋_GB2312" w:cs="仿宋_GB2312"/>
                <w:color w:val="000000" w:themeColor="text1"/>
              </w:rPr>
            </w:pPr>
          </w:p>
        </w:tc>
        <w:tc>
          <w:tcPr>
            <w:tcW w:w="1862"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主管校领导</w:t>
            </w:r>
          </w:p>
        </w:tc>
        <w:tc>
          <w:tcPr>
            <w:tcW w:w="1779" w:type="dxa"/>
            <w:tcBorders>
              <w:top w:val="nil"/>
              <w:left w:val="nil"/>
              <w:bottom w:val="single" w:sz="4" w:space="0" w:color="auto"/>
              <w:right w:val="single" w:sz="4" w:space="0" w:color="auto"/>
            </w:tcBorders>
            <w:shd w:val="clear" w:color="auto" w:fill="auto"/>
            <w:vAlign w:val="center"/>
          </w:tcPr>
          <w:p w:rsidR="00E37845" w:rsidRDefault="00E22BDD">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归侨、侨眷、台胞教职工出境探亲根据国家有关规定执行</w:t>
            </w:r>
          </w:p>
        </w:tc>
        <w:tc>
          <w:tcPr>
            <w:tcW w:w="941" w:type="dxa"/>
            <w:tcBorders>
              <w:top w:val="nil"/>
              <w:left w:val="nil"/>
              <w:bottom w:val="single" w:sz="4" w:space="0" w:color="auto"/>
              <w:right w:val="single" w:sz="4" w:space="0" w:color="auto"/>
            </w:tcBorders>
            <w:shd w:val="clear" w:color="auto" w:fill="auto"/>
            <w:vAlign w:val="center"/>
          </w:tcPr>
          <w:p w:rsidR="00E37845" w:rsidRDefault="00E37845">
            <w:pPr>
              <w:adjustRightInd w:val="0"/>
              <w:snapToGrid w:val="0"/>
              <w:jc w:val="center"/>
              <w:rPr>
                <w:rFonts w:ascii="仿宋_GB2312" w:eastAsia="仿宋_GB2312" w:hAnsi="仿宋_GB2312" w:cs="仿宋_GB2312"/>
                <w:color w:val="000000" w:themeColor="text1"/>
              </w:rPr>
            </w:pPr>
          </w:p>
        </w:tc>
      </w:tr>
    </w:tbl>
    <w:p w:rsidR="00E37845" w:rsidRDefault="00E22BDD">
      <w:pPr>
        <w:widowControl/>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br w:type="page"/>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115" w:name="_Toc21586"/>
      <w:bookmarkStart w:id="1116" w:name="_Toc31175"/>
      <w:bookmarkStart w:id="1117" w:name="_Toc568"/>
      <w:bookmarkStart w:id="1118" w:name="_Toc23715"/>
      <w:bookmarkStart w:id="1119" w:name="_Toc6228"/>
      <w:bookmarkStart w:id="1120" w:name="_Toc6202"/>
      <w:bookmarkStart w:id="1121" w:name="_Toc9088"/>
      <w:bookmarkStart w:id="1122" w:name="_Toc2255"/>
      <w:bookmarkStart w:id="1123" w:name="_Toc8724"/>
      <w:bookmarkStart w:id="1124" w:name="_Toc21539"/>
      <w:bookmarkStart w:id="1125" w:name="_Toc7437"/>
      <w:bookmarkStart w:id="1126" w:name="_Toc16566"/>
      <w:bookmarkStart w:id="1127" w:name="_Toc470"/>
      <w:bookmarkStart w:id="1128" w:name="_Toc11689"/>
      <w:bookmarkStart w:id="1129" w:name="_Toc16490"/>
      <w:bookmarkStart w:id="1130" w:name="_Toc15661"/>
      <w:bookmarkStart w:id="1131" w:name="_Toc23375"/>
      <w:bookmarkStart w:id="1132" w:name="_Toc14049"/>
      <w:bookmarkStart w:id="1133" w:name="_Toc20764"/>
      <w:bookmarkStart w:id="1134" w:name="_Toc2229"/>
      <w:bookmarkStart w:id="1135" w:name="_Toc519780967"/>
      <w:bookmarkStart w:id="1136" w:name="_Toc32237"/>
      <w:bookmarkStart w:id="1137" w:name="_Toc27562"/>
      <w:bookmarkStart w:id="1138" w:name="_Toc23370"/>
      <w:bookmarkStart w:id="1139" w:name="_Toc27859"/>
      <w:bookmarkStart w:id="1140" w:name="_Toc20565"/>
      <w:bookmarkStart w:id="1141" w:name="_Toc30933"/>
      <w:bookmarkStart w:id="1142" w:name="_Toc18157"/>
      <w:bookmarkStart w:id="1143" w:name="_Toc4027"/>
      <w:r>
        <w:rPr>
          <w:rFonts w:ascii="黑体" w:eastAsia="黑体" w:hAnsi="黑体" w:cs="黑体" w:hint="eastAsia"/>
          <w:color w:val="000000" w:themeColor="text1"/>
          <w:sz w:val="28"/>
          <w:szCs w:val="28"/>
        </w:rPr>
        <w:lastRenderedPageBreak/>
        <w:t>4.9教职工正常退休及高级专家延退、返聘</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r>
        <w:rPr>
          <w:rFonts w:ascii="黑体" w:eastAsia="黑体" w:hAnsi="黑体" w:cs="黑体" w:hint="eastAsia"/>
          <w:color w:val="000000" w:themeColor="text1"/>
          <w:sz w:val="28"/>
          <w:szCs w:val="28"/>
        </w:rPr>
        <w:t>（详见广大〔2017〕298号）</w:t>
      </w:r>
      <w:bookmarkEnd w:id="1137"/>
      <w:bookmarkEnd w:id="1138"/>
      <w:bookmarkEnd w:id="1139"/>
      <w:bookmarkEnd w:id="1140"/>
      <w:bookmarkEnd w:id="1141"/>
      <w:bookmarkEnd w:id="1142"/>
      <w:bookmarkEnd w:id="1143"/>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144" w:name="_Toc22819"/>
      <w:bookmarkStart w:id="1145" w:name="_Toc519780968"/>
      <w:bookmarkStart w:id="1146" w:name="_Toc26662"/>
      <w:bookmarkStart w:id="1147" w:name="_Toc7473"/>
      <w:bookmarkStart w:id="1148" w:name="_Toc20783"/>
      <w:bookmarkStart w:id="1149" w:name="_Toc29066"/>
      <w:bookmarkStart w:id="1150" w:name="_Toc25496"/>
      <w:bookmarkStart w:id="1151" w:name="_Toc29986"/>
      <w:bookmarkStart w:id="1152" w:name="_Toc25917"/>
      <w:bookmarkStart w:id="1153" w:name="_Toc9009"/>
      <w:bookmarkStart w:id="1154" w:name="_Toc30682"/>
      <w:bookmarkStart w:id="1155" w:name="_Toc13654"/>
      <w:bookmarkStart w:id="1156" w:name="_Toc4912"/>
      <w:bookmarkStart w:id="1157" w:name="_Toc15957"/>
      <w:bookmarkStart w:id="1158" w:name="_Toc4633"/>
      <w:bookmarkStart w:id="1159" w:name="_Toc5880"/>
      <w:bookmarkStart w:id="1160" w:name="_Toc3430"/>
      <w:bookmarkStart w:id="1161" w:name="_Toc21065"/>
      <w:bookmarkStart w:id="1162" w:name="_Toc13222"/>
      <w:bookmarkStart w:id="1163" w:name="_Toc26333"/>
      <w:bookmarkStart w:id="1164" w:name="_Toc8071"/>
      <w:bookmarkStart w:id="1165" w:name="_Toc7061"/>
      <w:bookmarkStart w:id="1166" w:name="_Toc12303"/>
      <w:bookmarkStart w:id="1167" w:name="_Toc24073"/>
      <w:bookmarkStart w:id="1168" w:name="_Toc2877"/>
      <w:bookmarkStart w:id="1169" w:name="_Toc20714"/>
      <w:bookmarkStart w:id="1170" w:name="_Toc4542"/>
      <w:bookmarkStart w:id="1171" w:name="_Toc24743"/>
      <w:bookmarkStart w:id="1172" w:name="_Toc32502"/>
      <w:r>
        <w:rPr>
          <w:rFonts w:ascii="黑体" w:eastAsia="黑体" w:hAnsi="黑体" w:cs="黑体" w:hint="eastAsia"/>
          <w:color w:val="000000" w:themeColor="text1"/>
          <w:sz w:val="28"/>
          <w:szCs w:val="28"/>
        </w:rPr>
        <w:t>4.9.1教职工退休</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一、男性满</w:t>
      </w:r>
      <w:r>
        <w:rPr>
          <w:rFonts w:ascii="仿宋_GB2312" w:eastAsia="仿宋_GB2312" w:hAnsi="仿宋_GB2312" w:cs="仿宋_GB2312"/>
          <w:color w:val="000000" w:themeColor="text1"/>
          <w:sz w:val="24"/>
          <w:szCs w:val="24"/>
        </w:rPr>
        <w:t>60</w:t>
      </w:r>
      <w:r>
        <w:rPr>
          <w:rFonts w:ascii="仿宋_GB2312" w:eastAsia="仿宋_GB2312" w:hAnsi="仿宋_GB2312" w:cs="仿宋_GB2312" w:hint="eastAsia"/>
          <w:color w:val="000000" w:themeColor="text1"/>
          <w:sz w:val="24"/>
          <w:szCs w:val="24"/>
        </w:rPr>
        <w:t>周岁，女性干部满</w:t>
      </w:r>
      <w:r>
        <w:rPr>
          <w:rFonts w:ascii="仿宋_GB2312" w:eastAsia="仿宋_GB2312" w:hAnsi="仿宋_GB2312" w:cs="仿宋_GB2312"/>
          <w:color w:val="000000" w:themeColor="text1"/>
          <w:sz w:val="24"/>
          <w:szCs w:val="24"/>
        </w:rPr>
        <w:t>55</w:t>
      </w:r>
      <w:r>
        <w:rPr>
          <w:rFonts w:ascii="仿宋_GB2312" w:eastAsia="仿宋_GB2312" w:hAnsi="仿宋_GB2312" w:cs="仿宋_GB2312" w:hint="eastAsia"/>
          <w:color w:val="000000" w:themeColor="text1"/>
          <w:sz w:val="24"/>
          <w:szCs w:val="24"/>
        </w:rPr>
        <w:t>周岁，女性工勤人员满</w:t>
      </w:r>
      <w:r>
        <w:rPr>
          <w:rFonts w:ascii="仿宋_GB2312" w:eastAsia="仿宋_GB2312" w:hAnsi="仿宋_GB2312" w:cs="仿宋_GB2312"/>
          <w:color w:val="000000" w:themeColor="text1"/>
          <w:sz w:val="24"/>
          <w:szCs w:val="24"/>
        </w:rPr>
        <w:t>50</w:t>
      </w:r>
      <w:r>
        <w:rPr>
          <w:rFonts w:ascii="仿宋_GB2312" w:eastAsia="仿宋_GB2312" w:hAnsi="仿宋_GB2312" w:cs="仿宋_GB2312" w:hint="eastAsia"/>
          <w:color w:val="000000" w:themeColor="text1"/>
          <w:sz w:val="24"/>
          <w:szCs w:val="24"/>
        </w:rPr>
        <w:t>周岁为国家法定的退休年龄，同时须参加工作年限满</w:t>
      </w:r>
      <w:r>
        <w:rPr>
          <w:rFonts w:ascii="仿宋_GB2312" w:eastAsia="仿宋_GB2312" w:hAnsi="仿宋_GB2312" w:cs="仿宋_GB2312"/>
          <w:color w:val="000000" w:themeColor="text1"/>
          <w:sz w:val="24"/>
          <w:szCs w:val="24"/>
        </w:rPr>
        <w:t>10年，可办理退休。</w:t>
      </w:r>
    </w:p>
    <w:p w:rsidR="00E37845" w:rsidRDefault="00E22BDD">
      <w:pPr>
        <w:pStyle w:val="Default"/>
        <w:snapToGrid w:val="0"/>
        <w:spacing w:line="360" w:lineRule="auto"/>
        <w:ind w:firstLineChars="200" w:firstLine="480"/>
        <w:rPr>
          <w:rFonts w:ascii="仿宋_GB2312" w:eastAsia="仿宋_GB2312" w:hAnsi="仿宋_GB2312" w:cs="仿宋_GB2312"/>
          <w:color w:val="000000" w:themeColor="text1"/>
          <w:kern w:val="2"/>
          <w:lang w:eastAsia="zh-CN"/>
        </w:rPr>
      </w:pPr>
      <w:r>
        <w:rPr>
          <w:rFonts w:ascii="仿宋_GB2312" w:eastAsia="仿宋_GB2312" w:hAnsi="仿宋_GB2312" w:cs="仿宋_GB2312" w:hint="eastAsia"/>
          <w:color w:val="000000" w:themeColor="text1"/>
          <w:kern w:val="2"/>
          <w:lang w:eastAsia="zh-CN"/>
        </w:rPr>
        <w:t>二、男性满</w:t>
      </w:r>
      <w:r>
        <w:rPr>
          <w:rFonts w:ascii="仿宋_GB2312" w:eastAsia="仿宋_GB2312" w:hAnsi="仿宋_GB2312" w:cs="仿宋_GB2312"/>
          <w:color w:val="000000" w:themeColor="text1"/>
          <w:kern w:val="2"/>
          <w:lang w:eastAsia="zh-CN"/>
        </w:rPr>
        <w:t>50</w:t>
      </w:r>
      <w:r>
        <w:rPr>
          <w:rFonts w:ascii="仿宋_GB2312" w:eastAsia="仿宋_GB2312" w:hAnsi="仿宋_GB2312" w:cs="仿宋_GB2312" w:hint="eastAsia"/>
          <w:color w:val="000000" w:themeColor="text1"/>
          <w:kern w:val="2"/>
          <w:lang w:eastAsia="zh-CN"/>
        </w:rPr>
        <w:t>周岁，女性满</w:t>
      </w:r>
      <w:r>
        <w:rPr>
          <w:rFonts w:ascii="仿宋_GB2312" w:eastAsia="仿宋_GB2312" w:hAnsi="仿宋_GB2312" w:cs="仿宋_GB2312"/>
          <w:color w:val="000000" w:themeColor="text1"/>
          <w:kern w:val="2"/>
          <w:lang w:eastAsia="zh-CN"/>
        </w:rPr>
        <w:t>45</w:t>
      </w:r>
      <w:r>
        <w:rPr>
          <w:rFonts w:ascii="仿宋_GB2312" w:eastAsia="仿宋_GB2312" w:hAnsi="仿宋_GB2312" w:cs="仿宋_GB2312" w:hint="eastAsia"/>
          <w:color w:val="000000" w:themeColor="text1"/>
          <w:kern w:val="2"/>
          <w:lang w:eastAsia="zh-CN"/>
        </w:rPr>
        <w:t>周岁，且参加工作年限满</w:t>
      </w:r>
      <w:r>
        <w:rPr>
          <w:rFonts w:ascii="仿宋_GB2312" w:eastAsia="仿宋_GB2312" w:hAnsi="仿宋_GB2312" w:cs="仿宋_GB2312"/>
          <w:color w:val="000000" w:themeColor="text1"/>
          <w:kern w:val="2"/>
          <w:lang w:eastAsia="zh-CN"/>
        </w:rPr>
        <w:t>10</w:t>
      </w:r>
      <w:r>
        <w:rPr>
          <w:rFonts w:ascii="仿宋_GB2312" w:eastAsia="仿宋_GB2312" w:hAnsi="仿宋_GB2312" w:cs="仿宋_GB2312" w:hint="eastAsia"/>
          <w:color w:val="000000" w:themeColor="text1"/>
          <w:kern w:val="2"/>
          <w:lang w:eastAsia="zh-CN"/>
        </w:rPr>
        <w:t>年的，由医院证明，并经广东省或广州市劳动能力鉴定委员会确认完全丧失工作能力的，可提前办理退休。</w:t>
      </w:r>
    </w:p>
    <w:p w:rsidR="00E37845" w:rsidRDefault="00E22BDD">
      <w:pPr>
        <w:pStyle w:val="Default"/>
        <w:snapToGrid w:val="0"/>
        <w:spacing w:line="360" w:lineRule="auto"/>
        <w:ind w:firstLineChars="200" w:firstLine="480"/>
        <w:rPr>
          <w:rFonts w:ascii="仿宋_GB2312" w:eastAsia="仿宋_GB2312" w:hAnsi="仿宋_GB2312" w:cs="仿宋_GB2312"/>
          <w:color w:val="000000" w:themeColor="text1"/>
          <w:kern w:val="2"/>
          <w:lang w:eastAsia="zh-CN"/>
        </w:rPr>
      </w:pPr>
      <w:r>
        <w:rPr>
          <w:rFonts w:ascii="仿宋_GB2312" w:eastAsia="仿宋_GB2312" w:hAnsi="仿宋_GB2312" w:cs="仿宋_GB2312" w:hint="eastAsia"/>
          <w:color w:val="000000" w:themeColor="text1"/>
          <w:kern w:val="2"/>
          <w:lang w:eastAsia="zh-CN"/>
        </w:rPr>
        <w:t>三、因工致残，由医院证明，并经广东省或广州市劳动能力鉴定委员会确认完全丧失工作能力的，可提前办理退休。</w:t>
      </w:r>
    </w:p>
    <w:p w:rsidR="00E37845" w:rsidRDefault="00E22BDD">
      <w:pPr>
        <w:pStyle w:val="Default"/>
        <w:snapToGrid w:val="0"/>
        <w:spacing w:line="360" w:lineRule="auto"/>
        <w:ind w:firstLineChars="200" w:firstLine="48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kern w:val="2"/>
          <w:lang w:eastAsia="zh-CN"/>
        </w:rPr>
        <w:t>四、</w:t>
      </w:r>
      <w:r>
        <w:rPr>
          <w:rFonts w:ascii="仿宋_GB2312" w:eastAsia="仿宋_GB2312" w:hAnsi="仿宋_GB2312" w:cs="仿宋_GB2312" w:hint="eastAsia"/>
          <w:color w:val="000000" w:themeColor="text1"/>
          <w:lang w:eastAsia="zh-CN"/>
        </w:rPr>
        <w:t>担任党务、行政管理工作的相当于正、副处级的女干部和具有高级职称的女性专业技术人员，年满</w:t>
      </w:r>
      <w:r>
        <w:rPr>
          <w:rFonts w:ascii="仿宋_GB2312" w:eastAsia="仿宋_GB2312" w:hAnsi="仿宋_GB2312" w:cs="仿宋_GB2312"/>
          <w:color w:val="000000" w:themeColor="text1"/>
          <w:lang w:eastAsia="zh-CN"/>
        </w:rPr>
        <w:t>60周岁退休；如本人申请，可以在年满55周岁时选择自愿退休，否则，须年满60周岁退休。</w:t>
      </w:r>
    </w:p>
    <w:p w:rsidR="00E37845" w:rsidRDefault="00E22BDD">
      <w:pPr>
        <w:pStyle w:val="Default"/>
        <w:snapToGrid w:val="0"/>
        <w:spacing w:line="360" w:lineRule="auto"/>
        <w:ind w:firstLineChars="200" w:firstLine="48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五、</w:t>
      </w:r>
      <w:r>
        <w:rPr>
          <w:rFonts w:ascii="仿宋_GB2312" w:eastAsia="仿宋_GB2312" w:hAnsi="仿宋_GB2312" w:cs="仿宋_GB2312"/>
          <w:color w:val="000000" w:themeColor="text1"/>
          <w:lang w:eastAsia="zh-CN"/>
        </w:rPr>
        <w:t>工勤技能岗位受聘到管理或由专业技术岗位聘用满10年且在管理或专业技术岗位退休的、执行了所聘岗位工资待遇的女性教工，年满55周岁退休。</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173" w:name="_Toc519780969"/>
      <w:bookmarkStart w:id="1174" w:name="_Toc10132"/>
      <w:bookmarkStart w:id="1175" w:name="_Toc28027"/>
      <w:bookmarkStart w:id="1176" w:name="_Toc2723"/>
      <w:bookmarkStart w:id="1177" w:name="_Toc15469"/>
      <w:bookmarkStart w:id="1178" w:name="_Toc24623"/>
      <w:bookmarkStart w:id="1179" w:name="_Toc1300"/>
      <w:bookmarkStart w:id="1180" w:name="_Toc14044"/>
      <w:bookmarkStart w:id="1181" w:name="_Toc16111"/>
      <w:bookmarkStart w:id="1182" w:name="_Toc15703"/>
      <w:bookmarkStart w:id="1183" w:name="_Toc21363"/>
      <w:bookmarkStart w:id="1184" w:name="_Toc10010"/>
      <w:bookmarkStart w:id="1185" w:name="_Toc4259"/>
      <w:bookmarkStart w:id="1186" w:name="_Toc3384"/>
      <w:bookmarkStart w:id="1187" w:name="_Toc4044"/>
      <w:bookmarkStart w:id="1188" w:name="_Toc10995"/>
      <w:bookmarkStart w:id="1189" w:name="_Toc1057"/>
      <w:bookmarkStart w:id="1190" w:name="_Toc3308"/>
      <w:bookmarkStart w:id="1191" w:name="_Toc10611"/>
      <w:bookmarkStart w:id="1192" w:name="_Toc18178"/>
      <w:bookmarkStart w:id="1193" w:name="_Toc20881"/>
      <w:bookmarkStart w:id="1194" w:name="_Toc28541"/>
      <w:bookmarkStart w:id="1195" w:name="_Toc14834"/>
      <w:bookmarkStart w:id="1196" w:name="_Toc16151"/>
      <w:bookmarkStart w:id="1197" w:name="_Toc6684"/>
      <w:bookmarkStart w:id="1198" w:name="_Toc13080"/>
      <w:bookmarkStart w:id="1199" w:name="_Toc15816"/>
      <w:bookmarkStart w:id="1200" w:name="_Toc9125"/>
      <w:bookmarkStart w:id="1201" w:name="_Toc31547"/>
      <w:r>
        <w:rPr>
          <w:rFonts w:ascii="黑体" w:eastAsia="黑体" w:hAnsi="黑体" w:cs="黑体" w:hint="eastAsia"/>
          <w:color w:val="000000" w:themeColor="text1"/>
          <w:sz w:val="28"/>
          <w:szCs w:val="28"/>
        </w:rPr>
        <w:t>4.9.2 高级专家延退</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r>
        <w:rPr>
          <w:rFonts w:ascii="黑体" w:eastAsia="黑体" w:hAnsi="黑体" w:cs="黑体" w:hint="eastAsia"/>
          <w:color w:val="000000" w:themeColor="text1"/>
          <w:sz w:val="28"/>
          <w:szCs w:val="28"/>
        </w:rPr>
        <w:t>（详见广大〔2017〕298号）</w:t>
      </w:r>
      <w:bookmarkEnd w:id="1195"/>
      <w:bookmarkEnd w:id="1196"/>
      <w:bookmarkEnd w:id="1197"/>
      <w:bookmarkEnd w:id="1198"/>
      <w:bookmarkEnd w:id="1199"/>
      <w:bookmarkEnd w:id="1200"/>
      <w:bookmarkEnd w:id="1201"/>
    </w:p>
    <w:p w:rsidR="00E37845" w:rsidRDefault="00E22BDD">
      <w:pPr>
        <w:pStyle w:val="Default"/>
        <w:snapToGrid w:val="0"/>
        <w:spacing w:line="360" w:lineRule="auto"/>
        <w:ind w:firstLineChars="200" w:firstLine="48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一、</w:t>
      </w:r>
      <w:r>
        <w:rPr>
          <w:rFonts w:ascii="仿宋_GB2312" w:eastAsia="仿宋_GB2312" w:hAnsi="仿宋_GB2312" w:cs="仿宋_GB2312"/>
          <w:color w:val="000000" w:themeColor="text1"/>
          <w:lang w:eastAsia="zh-CN"/>
        </w:rPr>
        <w:t>中国科学院院士、中国工程院院士的退休政策按国家有关规定执行。</w:t>
      </w:r>
    </w:p>
    <w:p w:rsidR="00E37845" w:rsidRDefault="00E22BDD">
      <w:pPr>
        <w:pStyle w:val="Default"/>
        <w:snapToGrid w:val="0"/>
        <w:spacing w:line="360" w:lineRule="auto"/>
        <w:ind w:firstLineChars="200" w:firstLine="48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二、</w:t>
      </w:r>
      <w:r>
        <w:rPr>
          <w:rFonts w:ascii="仿宋_GB2312" w:eastAsia="仿宋_GB2312" w:hAnsi="仿宋_GB2312" w:cs="仿宋_GB2312"/>
          <w:color w:val="000000" w:themeColor="text1"/>
          <w:lang w:eastAsia="zh-CN"/>
        </w:rPr>
        <w:t>在任国务院学科评议组成员、国家专业学位研究生教育指导委员会委员、教育部高等学校教学指导委员会正副主任委员的正高级专业技术人员，国家级教学名师，教育部长江学者特聘教授，国家千人计划入选者（长期），国家特支计划杰出人才、领军人才，国家杰出青年基金获得者，因工作需要，退休年龄可延至65周岁。</w:t>
      </w:r>
    </w:p>
    <w:p w:rsidR="00E37845" w:rsidRDefault="00E22BDD">
      <w:pPr>
        <w:pStyle w:val="Default"/>
        <w:snapToGrid w:val="0"/>
        <w:spacing w:line="360" w:lineRule="auto"/>
        <w:ind w:firstLineChars="200" w:firstLine="48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三、</w:t>
      </w:r>
      <w:r>
        <w:rPr>
          <w:rFonts w:ascii="仿宋_GB2312" w:eastAsia="仿宋_GB2312" w:hAnsi="仿宋_GB2312" w:cs="仿宋_GB2312"/>
          <w:color w:val="000000" w:themeColor="text1"/>
          <w:lang w:eastAsia="zh-CN"/>
        </w:rPr>
        <w:t>到达退休年龄的博士生导师，正在承担国家级科研项目（以项目申报书批准的结题时间为准），并正在指导博士研究生的，可根据需要适当延长退休年龄，最长延至65周岁。</w:t>
      </w:r>
    </w:p>
    <w:p w:rsidR="00E37845" w:rsidRDefault="00E22BDD">
      <w:pPr>
        <w:widowControl/>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w:t>
      </w:r>
      <w:r>
        <w:rPr>
          <w:rFonts w:ascii="仿宋_GB2312" w:eastAsia="仿宋_GB2312" w:hAnsi="仿宋_GB2312" w:cs="仿宋_GB2312" w:hint="eastAsia"/>
          <w:color w:val="000000" w:themeColor="text1"/>
          <w:kern w:val="0"/>
          <w:sz w:val="24"/>
          <w:szCs w:val="24"/>
        </w:rPr>
        <w:t>到达退休年</w:t>
      </w:r>
      <w:r>
        <w:rPr>
          <w:rFonts w:ascii="仿宋_GB2312" w:eastAsia="仿宋_GB2312" w:hAnsi="仿宋_GB2312" w:cs="仿宋_GB2312" w:hint="eastAsia"/>
          <w:color w:val="000000" w:themeColor="text1"/>
          <w:sz w:val="24"/>
          <w:szCs w:val="24"/>
        </w:rPr>
        <w:t>龄的在研国家社科基金重大项目或国家重大研发计划项目第一主持人，可由二级单位提出申请，经学校科研部门审核，报学校审批，可延聘至项目原计划完成期限，且最长延至</w:t>
      </w:r>
      <w:r>
        <w:rPr>
          <w:rFonts w:ascii="仿宋_GB2312" w:eastAsia="仿宋_GB2312" w:hAnsi="仿宋_GB2312" w:cs="仿宋_GB2312"/>
          <w:color w:val="000000" w:themeColor="text1"/>
          <w:sz w:val="24"/>
          <w:szCs w:val="24"/>
        </w:rPr>
        <w:t>65周岁。</w:t>
      </w:r>
    </w:p>
    <w:p w:rsidR="00E37845" w:rsidRDefault="00E22BDD">
      <w:pPr>
        <w:pStyle w:val="Default"/>
        <w:snapToGrid w:val="0"/>
        <w:spacing w:line="360" w:lineRule="auto"/>
        <w:ind w:firstLineChars="200" w:firstLine="48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lastRenderedPageBreak/>
        <w:t>五、</w:t>
      </w:r>
      <w:r>
        <w:rPr>
          <w:rFonts w:ascii="仿宋_GB2312" w:eastAsia="仿宋_GB2312" w:hAnsi="仿宋_GB2312" w:cs="仿宋_GB2312"/>
          <w:color w:val="000000" w:themeColor="text1"/>
          <w:lang w:eastAsia="zh-CN"/>
        </w:rPr>
        <w:t>根据学校发展战略，在国内外学术领域有重大影响的学者，确因工作需要延聘的，可由二级单位提出申请，征得本人同意，经学校审核，由校长办公会研究决定，且需逐年讨论，从严审批。</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202" w:name="_Toc519780970"/>
      <w:bookmarkStart w:id="1203" w:name="_Toc15012"/>
      <w:bookmarkStart w:id="1204" w:name="_Toc7157"/>
      <w:bookmarkStart w:id="1205" w:name="_Toc21588"/>
      <w:bookmarkStart w:id="1206" w:name="_Toc27962"/>
      <w:bookmarkStart w:id="1207" w:name="_Toc3667"/>
      <w:bookmarkStart w:id="1208" w:name="_Toc32708"/>
      <w:bookmarkStart w:id="1209" w:name="_Toc27719"/>
      <w:bookmarkStart w:id="1210" w:name="_Toc10468"/>
      <w:bookmarkStart w:id="1211" w:name="_Toc15726"/>
      <w:bookmarkStart w:id="1212" w:name="_Toc7828"/>
      <w:bookmarkStart w:id="1213" w:name="_Toc9435"/>
      <w:bookmarkStart w:id="1214" w:name="_Toc9134"/>
      <w:bookmarkStart w:id="1215" w:name="_Toc32642"/>
      <w:bookmarkStart w:id="1216" w:name="_Toc2947"/>
      <w:bookmarkStart w:id="1217" w:name="_Toc7348"/>
      <w:bookmarkStart w:id="1218" w:name="_Toc29951"/>
      <w:bookmarkStart w:id="1219" w:name="_Toc13697"/>
      <w:bookmarkStart w:id="1220" w:name="_Toc20075"/>
      <w:bookmarkStart w:id="1221" w:name="_Toc8557"/>
      <w:bookmarkStart w:id="1222" w:name="_Toc3794"/>
      <w:bookmarkStart w:id="1223" w:name="_Toc20638"/>
      <w:bookmarkStart w:id="1224" w:name="_Toc27153"/>
      <w:bookmarkStart w:id="1225" w:name="_Toc4041"/>
      <w:bookmarkStart w:id="1226" w:name="_Toc19889"/>
      <w:bookmarkStart w:id="1227" w:name="_Toc31990"/>
      <w:bookmarkStart w:id="1228" w:name="_Toc4065"/>
      <w:bookmarkStart w:id="1229" w:name="_Toc6579"/>
      <w:bookmarkStart w:id="1230" w:name="_Toc17530"/>
      <w:r>
        <w:rPr>
          <w:rFonts w:ascii="黑体" w:eastAsia="黑体" w:hAnsi="黑体" w:cs="黑体" w:hint="eastAsia"/>
          <w:color w:val="000000" w:themeColor="text1"/>
          <w:sz w:val="28"/>
          <w:szCs w:val="28"/>
        </w:rPr>
        <w:t>4.9.3高级专家返聘</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rsidR="00E37845" w:rsidRDefault="00E22BDD">
      <w:pPr>
        <w:pStyle w:val="Default"/>
        <w:snapToGrid w:val="0"/>
        <w:spacing w:line="360" w:lineRule="auto"/>
        <w:ind w:firstLineChars="200" w:firstLine="48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已办理退休手续的高级专家，学院可根据学科建设或教学科研工作的需要进行返聘。</w:t>
      </w:r>
    </w:p>
    <w:p w:rsidR="00E37845" w:rsidRDefault="00E22BDD">
      <w:pPr>
        <w:pStyle w:val="Default"/>
        <w:snapToGrid w:val="0"/>
        <w:spacing w:line="360" w:lineRule="auto"/>
        <w:ind w:firstLineChars="200" w:firstLine="48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由学院向人事部门提出书面返聘申请并备案，返聘期间的报酬由各学院纳入部门奖励性绩效统一分配。</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231" w:name="_Toc16999"/>
      <w:bookmarkStart w:id="1232" w:name="_Toc12556"/>
      <w:bookmarkStart w:id="1233" w:name="_Toc6376"/>
      <w:bookmarkStart w:id="1234" w:name="_Toc32522"/>
      <w:bookmarkStart w:id="1235" w:name="_Toc25559"/>
      <w:bookmarkStart w:id="1236" w:name="_Toc10948"/>
      <w:bookmarkStart w:id="1237" w:name="_Toc6853"/>
      <w:bookmarkStart w:id="1238" w:name="_Toc19021"/>
      <w:bookmarkStart w:id="1239" w:name="_Toc18299"/>
      <w:bookmarkStart w:id="1240" w:name="_Toc8397"/>
      <w:bookmarkStart w:id="1241" w:name="_Toc8922"/>
      <w:bookmarkStart w:id="1242" w:name="_Toc10627"/>
      <w:bookmarkStart w:id="1243" w:name="_Toc21682"/>
      <w:bookmarkStart w:id="1244" w:name="_Toc19452"/>
      <w:bookmarkStart w:id="1245" w:name="_Toc23988"/>
      <w:bookmarkStart w:id="1246" w:name="_Toc28419"/>
      <w:bookmarkStart w:id="1247" w:name="_Toc21244"/>
      <w:bookmarkStart w:id="1248" w:name="_Toc519780971"/>
      <w:bookmarkStart w:id="1249" w:name="_Toc2977"/>
      <w:bookmarkStart w:id="1250" w:name="_Toc2797"/>
      <w:bookmarkStart w:id="1251" w:name="_Toc16931"/>
      <w:bookmarkStart w:id="1252" w:name="_Toc25410"/>
      <w:bookmarkStart w:id="1253" w:name="_Toc15137"/>
      <w:bookmarkStart w:id="1254" w:name="_Toc9923"/>
      <w:bookmarkStart w:id="1255" w:name="_Toc19484"/>
      <w:bookmarkStart w:id="1256" w:name="_Toc13716"/>
      <w:r>
        <w:rPr>
          <w:rFonts w:ascii="黑体" w:eastAsia="黑体" w:hAnsi="黑体" w:cs="黑体" w:hint="eastAsia"/>
          <w:color w:val="000000" w:themeColor="text1"/>
          <w:sz w:val="28"/>
          <w:szCs w:val="28"/>
        </w:rPr>
        <w:t>4.10国家、省、市级人才计划</w:t>
      </w:r>
      <w:bookmarkEnd w:id="1231"/>
      <w:bookmarkEnd w:id="1232"/>
      <w:bookmarkEnd w:id="1233"/>
      <w:bookmarkEnd w:id="1234"/>
      <w:bookmarkEnd w:id="1235"/>
      <w:bookmarkEnd w:id="1236"/>
      <w:bookmarkEnd w:id="1237"/>
    </w:p>
    <w:p w:rsidR="00E37845" w:rsidRDefault="00E37845">
      <w:pPr>
        <w:rPr>
          <w:color w:val="000000" w:themeColor="text1"/>
        </w:rPr>
      </w:pPr>
    </w:p>
    <w:p w:rsidR="00E37845" w:rsidRDefault="00E37845">
      <w:pPr>
        <w:rPr>
          <w:color w:val="000000" w:themeColor="text1"/>
        </w:rPr>
      </w:pPr>
    </w:p>
    <w:p w:rsidR="00E37845" w:rsidRDefault="00E37845">
      <w:pPr>
        <w:pStyle w:val="Default"/>
        <w:snapToGrid w:val="0"/>
        <w:spacing w:line="360" w:lineRule="auto"/>
        <w:ind w:leftChars="-95" w:left="-199"/>
        <w:jc w:val="center"/>
        <w:rPr>
          <w:color w:val="000000" w:themeColor="text1"/>
          <w:lang w:val="ru-RU" w:eastAsia="zh-CN"/>
        </w:rPr>
        <w:sectPr w:rsidR="00E37845">
          <w:pgSz w:w="11906" w:h="16838"/>
          <w:pgMar w:top="1440" w:right="1800" w:bottom="1440" w:left="1800" w:header="720" w:footer="720" w:gutter="0"/>
          <w:cols w:space="720"/>
          <w:docGrid w:type="lines" w:linePitch="312"/>
        </w:sectPr>
      </w:pPr>
    </w:p>
    <w:p w:rsidR="00E37845" w:rsidRDefault="00E37845">
      <w:pPr>
        <w:autoSpaceDE w:val="0"/>
        <w:autoSpaceDN w:val="0"/>
        <w:ind w:right="-40"/>
        <w:jc w:val="left"/>
        <w:rPr>
          <w:sz w:val="20"/>
          <w:szCs w:val="22"/>
        </w:rPr>
      </w:pPr>
    </w:p>
    <w:p w:rsidR="00E37845" w:rsidRDefault="00E37845">
      <w:pPr>
        <w:rPr>
          <w:rFonts w:ascii="Times New Roman" w:eastAsia="Times New Roman" w:hAnsi="Times New Roman"/>
          <w:sz w:val="20"/>
          <w:szCs w:val="22"/>
        </w:rPr>
      </w:pPr>
    </w:p>
    <w:p w:rsidR="00E37845" w:rsidRDefault="00E37845">
      <w:pPr>
        <w:pStyle w:val="Normal0"/>
        <w:spacing w:before="0" w:after="0" w:line="0" w:lineRule="atLeast"/>
        <w:jc w:val="left"/>
        <w:rPr>
          <w:rFonts w:ascii="Arial"/>
          <w:color w:val="FF0000"/>
          <w:sz w:val="2"/>
          <w:lang w:eastAsia="zh-CN"/>
        </w:rPr>
      </w:pPr>
      <w:bookmarkStart w:id="1257" w:name="br1"/>
      <w:bookmarkEnd w:id="1257"/>
    </w:p>
    <w:p w:rsidR="00E37845" w:rsidRDefault="00E22BDD">
      <w:pPr>
        <w:pStyle w:val="Normal0"/>
        <w:framePr w:w="11265" w:wrap="around" w:hAnchor="page" w:x="3433" w:y="852"/>
        <w:widowControl w:val="0"/>
        <w:autoSpaceDE w:val="0"/>
        <w:autoSpaceDN w:val="0"/>
        <w:adjustRightInd w:val="0"/>
        <w:spacing w:before="0" w:after="0" w:line="501" w:lineRule="exact"/>
        <w:jc w:val="left"/>
        <w:rPr>
          <w:rFonts w:ascii="KFFJMC+FZXBSJW--GB1-0,Bold" w:eastAsia="宋体" w:hAnsi="KFFJMC+FZXBSJW--GB1-0,Bold" w:cs="KFFJMC+FZXBSJW--GB1-0,Bold" w:hint="eastAsia"/>
          <w:b/>
          <w:bCs/>
          <w:color w:val="000000"/>
          <w:sz w:val="42"/>
          <w:lang w:val="en-US" w:eastAsia="zh-CN"/>
        </w:rPr>
      </w:pPr>
      <w:r>
        <w:rPr>
          <w:rFonts w:ascii="黑体" w:eastAsia="黑体" w:hAnsi="黑体" w:cs="黑体" w:hint="eastAsia"/>
          <w:color w:val="000000"/>
          <w:sz w:val="36"/>
          <w:szCs w:val="36"/>
          <w:lang w:eastAsia="zh-CN"/>
        </w:rPr>
        <w:t>广州大学申报国家（省市）各类人才项目一览表（</w:t>
      </w:r>
      <w:r>
        <w:rPr>
          <w:rFonts w:ascii="黑体" w:eastAsia="黑体" w:hAnsi="黑体" w:cs="黑体" w:hint="eastAsia"/>
          <w:color w:val="000000"/>
          <w:sz w:val="36"/>
          <w:szCs w:val="36"/>
          <w:lang w:val="en-US" w:eastAsia="zh-CN"/>
        </w:rPr>
        <w:t>人事处）</w:t>
      </w:r>
    </w:p>
    <w:p w:rsidR="00E37845" w:rsidRDefault="00E22BDD">
      <w:pPr>
        <w:pStyle w:val="Normal0"/>
        <w:framePr w:w="664" w:wrap="around" w:hAnchor="text" w:x="1422" w:y="1754"/>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序号</w:t>
      </w:r>
    </w:p>
    <w:p w:rsidR="00E37845" w:rsidRDefault="00E22BDD">
      <w:pPr>
        <w:pStyle w:val="Normal0"/>
        <w:framePr w:w="1043" w:wrap="around" w:hAnchor="text" w:x="2298" w:y="1754"/>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项目名称</w:t>
      </w:r>
    </w:p>
    <w:p w:rsidR="00E37845" w:rsidRDefault="00E22BDD">
      <w:pPr>
        <w:pStyle w:val="Normal0"/>
        <w:framePr w:w="1043" w:wrap="around" w:hAnchor="text" w:x="4350" w:y="1754"/>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主管部门</w:t>
      </w:r>
    </w:p>
    <w:p w:rsidR="00E37845" w:rsidRDefault="00E22BDD">
      <w:pPr>
        <w:pStyle w:val="Normal0"/>
        <w:framePr w:w="1137" w:wrap="around" w:hAnchor="text" w:x="10529" w:y="1754"/>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内容简介</w:t>
      </w:r>
      <w:r>
        <w:rPr>
          <w:rFonts w:ascii="宋体" w:hAnsi="宋体" w:cs="宋体"/>
          <w:color w:val="000000"/>
          <w:sz w:val="19"/>
          <w:lang w:eastAsia="zh-CN"/>
        </w:rPr>
        <w:t xml:space="preserve"> </w:t>
      </w:r>
    </w:p>
    <w:p w:rsidR="00E37845" w:rsidRDefault="00E22BDD">
      <w:pPr>
        <w:pStyle w:val="Normal0"/>
        <w:framePr w:w="11217" w:wrap="around" w:hAnchor="text" w:x="6072" w:y="2300"/>
        <w:widowControl w:val="0"/>
        <w:autoSpaceDE w:val="0"/>
        <w:autoSpaceDN w:val="0"/>
        <w:adjustRightInd w:val="0"/>
        <w:spacing w:before="0" w:after="0" w:line="189" w:lineRule="exact"/>
        <w:jc w:val="left"/>
        <w:rPr>
          <w:rFonts w:ascii="宋体" w:hAnsi="宋体" w:cs="宋体"/>
          <w:color w:val="000000"/>
          <w:sz w:val="19"/>
          <w:lang w:eastAsia="zh-CN"/>
        </w:rPr>
      </w:pPr>
      <w:r>
        <w:rPr>
          <w:rFonts w:ascii="黑体" w:hAnsi="黑体" w:cs="黑体"/>
          <w:color w:val="000000"/>
          <w:sz w:val="19"/>
          <w:lang w:eastAsia="zh-CN"/>
        </w:rPr>
        <w:t>①</w:t>
      </w:r>
      <w:r>
        <w:rPr>
          <w:rFonts w:ascii="黑体" w:hAnsi="黑体" w:cs="黑体"/>
          <w:color w:val="000000"/>
          <w:sz w:val="19"/>
          <w:lang w:eastAsia="zh-CN"/>
        </w:rPr>
        <w:t>科学院院士：</w:t>
      </w:r>
      <w:r>
        <w:rPr>
          <w:rFonts w:ascii="宋体" w:hAnsi="宋体" w:cs="宋体"/>
          <w:color w:val="000000"/>
          <w:sz w:val="19"/>
          <w:lang w:eastAsia="zh-CN"/>
        </w:rPr>
        <w:t>院士增选每两年进行一次，每次增选总名额及其分配由中国科学院学部（以下简称学部）主席团确定</w:t>
      </w:r>
    </w:p>
    <w:p w:rsidR="00E37845" w:rsidRDefault="00E22BDD">
      <w:pPr>
        <w:pStyle w:val="Normal0"/>
        <w:framePr w:w="11217" w:wrap="around" w:hAnchor="text" w:x="6072" w:y="2300"/>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。增选名额基数为</w:t>
      </w:r>
      <w:r>
        <w:rPr>
          <w:rFonts w:ascii="宋体" w:hAnsi="宋体" w:cs="宋体"/>
          <w:color w:val="000000"/>
          <w:sz w:val="19"/>
          <w:lang w:eastAsia="zh-CN"/>
        </w:rPr>
        <w:t>60</w:t>
      </w:r>
      <w:r>
        <w:rPr>
          <w:rFonts w:ascii="宋体" w:hAnsi="宋体" w:cs="宋体"/>
          <w:color w:val="000000"/>
          <w:sz w:val="19"/>
          <w:lang w:eastAsia="zh-CN"/>
        </w:rPr>
        <w:t>名，学部主席团可根据学科布局和学科发展需要适当增加增选名额，但增加名额不超过</w:t>
      </w:r>
      <w:r>
        <w:rPr>
          <w:rFonts w:ascii="宋体" w:hAnsi="宋体" w:cs="宋体"/>
          <w:color w:val="000000"/>
          <w:sz w:val="19"/>
          <w:lang w:eastAsia="zh-CN"/>
        </w:rPr>
        <w:t>6</w:t>
      </w:r>
      <w:r>
        <w:rPr>
          <w:rFonts w:ascii="宋体" w:hAnsi="宋体" w:cs="宋体"/>
          <w:color w:val="000000"/>
          <w:sz w:val="19"/>
          <w:lang w:eastAsia="zh-CN"/>
        </w:rPr>
        <w:t>名。被推</w:t>
      </w:r>
    </w:p>
    <w:p w:rsidR="00E37845" w:rsidRDefault="00E22BDD">
      <w:pPr>
        <w:pStyle w:val="Normal0"/>
        <w:framePr w:w="11217" w:wrap="around" w:hAnchor="text" w:x="6072" w:y="2300"/>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荐人年龄（按增选年</w:t>
      </w:r>
      <w:r>
        <w:rPr>
          <w:rFonts w:ascii="宋体" w:hAnsi="宋体" w:cs="宋体"/>
          <w:color w:val="000000"/>
          <w:sz w:val="19"/>
          <w:lang w:eastAsia="zh-CN"/>
        </w:rPr>
        <w:t>6</w:t>
      </w:r>
      <w:r>
        <w:rPr>
          <w:rFonts w:ascii="宋体" w:hAnsi="宋体" w:cs="宋体"/>
          <w:color w:val="000000"/>
          <w:sz w:val="19"/>
          <w:lang w:eastAsia="zh-CN"/>
        </w:rPr>
        <w:t>月</w:t>
      </w:r>
      <w:r>
        <w:rPr>
          <w:rFonts w:ascii="宋体" w:hAnsi="宋体" w:cs="宋体"/>
          <w:color w:val="000000"/>
          <w:sz w:val="19"/>
          <w:lang w:eastAsia="zh-CN"/>
        </w:rPr>
        <w:t>30</w:t>
      </w:r>
      <w:r>
        <w:rPr>
          <w:rFonts w:ascii="宋体" w:hAnsi="宋体" w:cs="宋体"/>
          <w:color w:val="000000"/>
          <w:sz w:val="19"/>
          <w:lang w:eastAsia="zh-CN"/>
        </w:rPr>
        <w:t>日实足年龄计算）一般不超过</w:t>
      </w:r>
      <w:r>
        <w:rPr>
          <w:rFonts w:ascii="宋体" w:hAnsi="宋体" w:cs="宋体"/>
          <w:color w:val="000000"/>
          <w:sz w:val="19"/>
          <w:lang w:eastAsia="zh-CN"/>
        </w:rPr>
        <w:t>65</w:t>
      </w:r>
      <w:r>
        <w:rPr>
          <w:rFonts w:ascii="宋体" w:hAnsi="宋体" w:cs="宋体"/>
          <w:color w:val="000000"/>
          <w:sz w:val="19"/>
          <w:lang w:eastAsia="zh-CN"/>
        </w:rPr>
        <w:t>岁。在各学部正式候选人中，</w:t>
      </w:r>
      <w:r>
        <w:rPr>
          <w:rFonts w:ascii="宋体" w:hAnsi="宋体" w:cs="宋体"/>
          <w:color w:val="000000"/>
          <w:sz w:val="19"/>
          <w:lang w:eastAsia="zh-CN"/>
        </w:rPr>
        <w:t>60</w:t>
      </w:r>
      <w:r>
        <w:rPr>
          <w:rFonts w:ascii="宋体" w:hAnsi="宋体" w:cs="宋体"/>
          <w:color w:val="000000"/>
          <w:sz w:val="19"/>
          <w:lang w:eastAsia="zh-CN"/>
        </w:rPr>
        <w:t>岁（含</w:t>
      </w:r>
      <w:r>
        <w:rPr>
          <w:rFonts w:ascii="宋体" w:hAnsi="宋体" w:cs="宋体"/>
          <w:color w:val="000000"/>
          <w:sz w:val="19"/>
          <w:lang w:eastAsia="zh-CN"/>
        </w:rPr>
        <w:t>60</w:t>
      </w:r>
      <w:r>
        <w:rPr>
          <w:rFonts w:ascii="宋体" w:hAnsi="宋体" w:cs="宋体"/>
          <w:color w:val="000000"/>
          <w:sz w:val="19"/>
          <w:lang w:eastAsia="zh-CN"/>
        </w:rPr>
        <w:t>岁）以下的一般不</w:t>
      </w:r>
    </w:p>
    <w:p w:rsidR="00E37845" w:rsidRDefault="00E22BDD">
      <w:pPr>
        <w:pStyle w:val="Normal0"/>
        <w:framePr w:w="11217" w:wrap="around" w:hAnchor="text" w:x="6072" w:y="2300"/>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少于三分之一。</w:t>
      </w:r>
    </w:p>
    <w:p w:rsidR="00E37845" w:rsidRDefault="00E22BDD">
      <w:pPr>
        <w:pStyle w:val="Normal0"/>
        <w:framePr w:w="1611" w:wrap="around" w:hAnchor="text" w:x="4066" w:y="2628"/>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中国科学院学部</w:t>
      </w:r>
    </w:p>
    <w:p w:rsidR="00E37845" w:rsidRDefault="00E22BDD">
      <w:pPr>
        <w:pStyle w:val="Normal0"/>
        <w:framePr w:w="380" w:wrap="around" w:hAnchor="text" w:x="1564" w:y="3084"/>
        <w:widowControl w:val="0"/>
        <w:autoSpaceDE w:val="0"/>
        <w:autoSpaceDN w:val="0"/>
        <w:adjustRightInd w:val="0"/>
        <w:spacing w:before="0" w:after="0" w:line="189" w:lineRule="exact"/>
        <w:jc w:val="left"/>
        <w:rPr>
          <w:rFonts w:ascii="宋体"/>
          <w:color w:val="000000"/>
          <w:sz w:val="19"/>
          <w:lang w:eastAsia="zh-CN"/>
        </w:rPr>
      </w:pPr>
      <w:r>
        <w:rPr>
          <w:rFonts w:ascii="宋体"/>
          <w:color w:val="000000"/>
          <w:sz w:val="19"/>
          <w:lang w:eastAsia="zh-CN"/>
        </w:rPr>
        <w:t>1</w:t>
      </w:r>
    </w:p>
    <w:p w:rsidR="00E37845" w:rsidRDefault="00E22BDD">
      <w:pPr>
        <w:pStyle w:val="Normal0"/>
        <w:framePr w:w="1043" w:wrap="around" w:hAnchor="text" w:x="2298" w:y="3084"/>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院士增选</w:t>
      </w:r>
    </w:p>
    <w:p w:rsidR="00E37845" w:rsidRDefault="00E22BDD">
      <w:pPr>
        <w:pStyle w:val="Normal0"/>
        <w:framePr w:w="11108" w:wrap="around" w:hAnchor="text" w:x="6072" w:y="3361"/>
        <w:widowControl w:val="0"/>
        <w:autoSpaceDE w:val="0"/>
        <w:autoSpaceDN w:val="0"/>
        <w:adjustRightInd w:val="0"/>
        <w:spacing w:before="0" w:after="0" w:line="189" w:lineRule="exact"/>
        <w:jc w:val="left"/>
        <w:rPr>
          <w:rFonts w:ascii="宋体" w:hAnsi="宋体" w:cs="宋体"/>
          <w:color w:val="000000"/>
          <w:sz w:val="19"/>
          <w:lang w:eastAsia="zh-CN"/>
        </w:rPr>
      </w:pPr>
      <w:r>
        <w:rPr>
          <w:rFonts w:ascii="黑体" w:hAnsi="黑体" w:cs="黑体"/>
          <w:color w:val="000000"/>
          <w:sz w:val="19"/>
          <w:lang w:eastAsia="zh-CN"/>
        </w:rPr>
        <w:t>②</w:t>
      </w:r>
      <w:r>
        <w:rPr>
          <w:rFonts w:ascii="黑体" w:hAnsi="黑体" w:cs="黑体"/>
          <w:color w:val="000000"/>
          <w:sz w:val="19"/>
          <w:lang w:eastAsia="zh-CN"/>
        </w:rPr>
        <w:t>工程院院士：</w:t>
      </w:r>
      <w:r>
        <w:rPr>
          <w:rFonts w:ascii="宋体" w:hAnsi="宋体" w:cs="宋体"/>
          <w:color w:val="000000"/>
          <w:sz w:val="19"/>
          <w:lang w:eastAsia="zh-CN"/>
        </w:rPr>
        <w:t>院士增选每两年（奇数年）进行一次，每次增选总名额及各学部的名额分配，由主席团研究决定；在</w:t>
      </w:r>
    </w:p>
    <w:p w:rsidR="00E37845" w:rsidRDefault="00E22BDD">
      <w:pPr>
        <w:pStyle w:val="Normal0"/>
        <w:framePr w:w="11108" w:wrap="around" w:hAnchor="text" w:x="6072" w:y="3361"/>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工程科学技术方面做出重大的、创造性的成就和贡献，热爱祖国，学风正派，品行端正，具有中国国籍的高级工程师</w:t>
      </w:r>
    </w:p>
    <w:p w:rsidR="00E37845" w:rsidRDefault="00E22BDD">
      <w:pPr>
        <w:pStyle w:val="Normal0"/>
        <w:framePr w:w="11108" w:wrap="around" w:hAnchor="text" w:x="6072" w:y="3361"/>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、研究员、教授或具有同等职称的专家，可被提名为院士候选人（以下简称</w:t>
      </w:r>
      <w:r>
        <w:rPr>
          <w:rFonts w:ascii="宋体" w:hAnsi="宋体" w:cs="宋体"/>
          <w:color w:val="000000"/>
          <w:sz w:val="19"/>
          <w:lang w:eastAsia="zh-CN"/>
        </w:rPr>
        <w:t>“</w:t>
      </w:r>
      <w:r>
        <w:rPr>
          <w:rFonts w:ascii="宋体" w:hAnsi="宋体" w:cs="宋体"/>
          <w:color w:val="000000"/>
          <w:sz w:val="19"/>
          <w:lang w:eastAsia="zh-CN"/>
        </w:rPr>
        <w:t>候选人</w:t>
      </w:r>
      <w:r>
        <w:rPr>
          <w:rFonts w:ascii="宋体" w:hAnsi="宋体" w:cs="宋体"/>
          <w:color w:val="000000"/>
          <w:sz w:val="19"/>
          <w:lang w:eastAsia="zh-CN"/>
        </w:rPr>
        <w:t>”</w:t>
      </w:r>
      <w:r>
        <w:rPr>
          <w:rFonts w:ascii="宋体" w:hAnsi="宋体" w:cs="宋体"/>
          <w:color w:val="000000"/>
          <w:sz w:val="19"/>
          <w:lang w:eastAsia="zh-CN"/>
        </w:rPr>
        <w:t>）并当选为院士</w:t>
      </w:r>
    </w:p>
    <w:p w:rsidR="00E37845" w:rsidRDefault="00E22BDD">
      <w:pPr>
        <w:pStyle w:val="Normal0"/>
        <w:framePr w:w="1232" w:wrap="around" w:hAnchor="text" w:x="4255" w:y="3580"/>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中国工程院</w:t>
      </w:r>
    </w:p>
    <w:p w:rsidR="00E37845" w:rsidRDefault="00E22BDD">
      <w:pPr>
        <w:pStyle w:val="Normal0"/>
        <w:framePr w:w="11108" w:wrap="around" w:hAnchor="text" w:x="6072" w:y="4165"/>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副高以上职称，</w:t>
      </w:r>
      <w:r>
        <w:rPr>
          <w:rFonts w:ascii="宋体" w:hAnsi="宋体" w:cs="宋体"/>
          <w:color w:val="000000"/>
          <w:sz w:val="19"/>
          <w:lang w:eastAsia="zh-CN"/>
        </w:rPr>
        <w:t>50</w:t>
      </w:r>
      <w:r>
        <w:rPr>
          <w:rFonts w:ascii="宋体" w:hAnsi="宋体" w:cs="宋体"/>
          <w:color w:val="000000"/>
          <w:sz w:val="19"/>
          <w:lang w:eastAsia="zh-CN"/>
        </w:rPr>
        <w:t>周岁以下，自然科学、工程技术或哲学社科；优先推荐：国家自然科学二等奖、国家发明二等奖、</w:t>
      </w:r>
    </w:p>
    <w:p w:rsidR="00E37845" w:rsidRDefault="00E22BDD">
      <w:pPr>
        <w:pStyle w:val="Normal0"/>
        <w:framePr w:w="11108" w:wrap="around" w:hAnchor="text" w:x="6072" w:y="4165"/>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国家科技进步二等奖以上及中国青年科技奖等国家级科技奖励获得者；国家杰出青年科学基金、长江学者奖励计划、</w:t>
      </w:r>
    </w:p>
    <w:p w:rsidR="00E37845" w:rsidRDefault="00E22BDD">
      <w:pPr>
        <w:pStyle w:val="Normal0"/>
        <w:framePr w:w="11108" w:wrap="around" w:hAnchor="text" w:x="6072" w:y="4165"/>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中科院百人计划等国家重大人才工程入选者；国家自然科学基金、国家社会科学基金等国家重点资助项目、科研课题</w:t>
      </w:r>
    </w:p>
    <w:p w:rsidR="00E37845" w:rsidRDefault="00E22BDD">
      <w:pPr>
        <w:pStyle w:val="Normal0"/>
        <w:framePr w:w="11108" w:wrap="around" w:hAnchor="text" w:x="6072" w:y="4165"/>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主要负责人，国家重大科研任务、科技计划和工程项目等主要负责人。</w:t>
      </w:r>
    </w:p>
    <w:p w:rsidR="00E37845" w:rsidRDefault="00E22BDD">
      <w:pPr>
        <w:pStyle w:val="Normal0"/>
        <w:framePr w:w="2108" w:wrap="around" w:hAnchor="text" w:x="1564" w:y="4274"/>
        <w:widowControl w:val="0"/>
        <w:autoSpaceDE w:val="0"/>
        <w:autoSpaceDN w:val="0"/>
        <w:adjustRightInd w:val="0"/>
        <w:spacing w:before="0" w:after="0" w:line="189" w:lineRule="exact"/>
        <w:ind w:left="450"/>
        <w:jc w:val="left"/>
        <w:rPr>
          <w:rFonts w:ascii="宋体" w:hAnsi="宋体" w:cs="宋体"/>
          <w:color w:val="000000"/>
          <w:sz w:val="19"/>
          <w:lang w:eastAsia="zh-CN"/>
        </w:rPr>
      </w:pPr>
      <w:r>
        <w:rPr>
          <w:rFonts w:ascii="宋体" w:hAnsi="宋体" w:cs="宋体"/>
          <w:color w:val="000000"/>
          <w:sz w:val="19"/>
          <w:lang w:eastAsia="zh-CN"/>
        </w:rPr>
        <w:t>百千万人才工程</w:t>
      </w:r>
    </w:p>
    <w:p w:rsidR="00E37845" w:rsidRDefault="00E22BDD">
      <w:pPr>
        <w:pStyle w:val="Normal0"/>
        <w:framePr w:w="2108" w:wrap="around" w:hAnchor="text" w:x="1564" w:y="4274"/>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color w:val="000000"/>
          <w:sz w:val="19"/>
          <w:lang w:eastAsia="zh-CN"/>
        </w:rPr>
        <w:t xml:space="preserve">2   </w:t>
      </w:r>
      <w:r>
        <w:rPr>
          <w:rFonts w:ascii="宋体" w:hAnsi="宋体" w:cs="宋体"/>
          <w:color w:val="000000"/>
          <w:sz w:val="19"/>
          <w:lang w:eastAsia="zh-CN"/>
        </w:rPr>
        <w:t>国家级人选（</w:t>
      </w:r>
      <w:r>
        <w:rPr>
          <w:rFonts w:ascii="宋体" w:hAnsi="宋体" w:cs="宋体"/>
          <w:color w:val="000000"/>
          <w:sz w:val="19"/>
          <w:lang w:eastAsia="zh-CN"/>
        </w:rPr>
        <w:t>5</w:t>
      </w:r>
      <w:r>
        <w:rPr>
          <w:rFonts w:ascii="宋体" w:hAnsi="宋体" w:cs="宋体"/>
          <w:color w:val="000000"/>
          <w:sz w:val="19"/>
          <w:lang w:eastAsia="zh-CN"/>
        </w:rPr>
        <w:t>月</w:t>
      </w:r>
    </w:p>
    <w:p w:rsidR="00E37845" w:rsidRDefault="00E22BDD">
      <w:pPr>
        <w:pStyle w:val="Normal0"/>
        <w:framePr w:w="2108" w:wrap="around" w:hAnchor="text" w:x="1564" w:y="4274"/>
        <w:widowControl w:val="0"/>
        <w:autoSpaceDE w:val="0"/>
        <w:autoSpaceDN w:val="0"/>
        <w:adjustRightInd w:val="0"/>
        <w:spacing w:before="0" w:after="0" w:line="218" w:lineRule="exact"/>
        <w:ind w:left="1018"/>
        <w:jc w:val="left"/>
        <w:rPr>
          <w:rFonts w:ascii="宋体" w:hAnsi="宋体" w:cs="宋体"/>
          <w:color w:val="000000"/>
          <w:sz w:val="19"/>
          <w:lang w:eastAsia="zh-CN"/>
        </w:rPr>
      </w:pPr>
      <w:r>
        <w:rPr>
          <w:rFonts w:ascii="宋体" w:hAnsi="宋体" w:cs="宋体"/>
          <w:color w:val="000000"/>
          <w:sz w:val="19"/>
          <w:lang w:eastAsia="zh-CN"/>
        </w:rPr>
        <w:t>）</w:t>
      </w:r>
    </w:p>
    <w:p w:rsidR="00E37845" w:rsidRDefault="00E22BDD">
      <w:pPr>
        <w:pStyle w:val="Normal0"/>
        <w:framePr w:w="2179" w:wrap="around" w:hAnchor="text" w:x="3782" w:y="4492"/>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人力资源和社会保障部</w:t>
      </w:r>
    </w:p>
    <w:p w:rsidR="00E37845" w:rsidRDefault="00E22BDD">
      <w:pPr>
        <w:pStyle w:val="Normal0"/>
        <w:framePr w:w="2179" w:wrap="around" w:hAnchor="text" w:x="3782" w:y="4492"/>
        <w:widowControl w:val="0"/>
        <w:autoSpaceDE w:val="0"/>
        <w:autoSpaceDN w:val="0"/>
        <w:adjustRightInd w:val="0"/>
        <w:spacing w:before="0" w:after="0" w:line="843" w:lineRule="exact"/>
        <w:ind w:left="473"/>
        <w:jc w:val="left"/>
        <w:rPr>
          <w:rFonts w:ascii="宋体" w:hAnsi="宋体" w:cs="宋体"/>
          <w:color w:val="000000"/>
          <w:sz w:val="19"/>
          <w:lang w:eastAsia="zh-CN"/>
        </w:rPr>
      </w:pPr>
      <w:r>
        <w:rPr>
          <w:rFonts w:ascii="宋体" w:hAnsi="宋体" w:cs="宋体"/>
          <w:color w:val="000000"/>
          <w:sz w:val="19"/>
          <w:lang w:eastAsia="zh-CN"/>
        </w:rPr>
        <w:t>中组部牵头</w:t>
      </w:r>
    </w:p>
    <w:p w:rsidR="00E37845" w:rsidRDefault="00E22BDD">
      <w:pPr>
        <w:pStyle w:val="Normal0"/>
        <w:framePr w:w="11108" w:wrap="around" w:hAnchor="text" w:x="6072" w:y="5216"/>
        <w:widowControl w:val="0"/>
        <w:autoSpaceDE w:val="0"/>
        <w:autoSpaceDN w:val="0"/>
        <w:adjustRightInd w:val="0"/>
        <w:spacing w:before="0" w:after="0" w:line="189" w:lineRule="exact"/>
        <w:jc w:val="left"/>
        <w:rPr>
          <w:rFonts w:ascii="宋体" w:hAnsi="宋体" w:cs="宋体"/>
          <w:color w:val="000000"/>
          <w:sz w:val="19"/>
          <w:lang w:eastAsia="zh-CN"/>
        </w:rPr>
      </w:pPr>
      <w:r>
        <w:rPr>
          <w:rFonts w:ascii="黑体" w:hAnsi="黑体" w:cs="黑体"/>
          <w:color w:val="000000"/>
          <w:sz w:val="19"/>
          <w:lang w:eastAsia="zh-CN"/>
        </w:rPr>
        <w:t>杰出人才</w:t>
      </w:r>
      <w:r>
        <w:rPr>
          <w:rFonts w:ascii="宋体" w:hAnsi="宋体" w:cs="宋体"/>
          <w:color w:val="000000"/>
          <w:sz w:val="19"/>
          <w:lang w:eastAsia="zh-CN"/>
        </w:rPr>
        <w:t>。申报人研究方向应当处于世界科技前沿，科研上取得重大成果，具有成长为世界级科学家的潜力。</w:t>
      </w:r>
    </w:p>
    <w:p w:rsidR="00E37845" w:rsidRDefault="00E22BDD">
      <w:pPr>
        <w:pStyle w:val="Normal0"/>
        <w:framePr w:w="11108" w:wrap="around" w:hAnchor="text" w:x="6072" w:y="5216"/>
        <w:widowControl w:val="0"/>
        <w:autoSpaceDE w:val="0"/>
        <w:autoSpaceDN w:val="0"/>
        <w:adjustRightInd w:val="0"/>
        <w:spacing w:before="0" w:after="0" w:line="218" w:lineRule="exact"/>
        <w:jc w:val="left"/>
        <w:rPr>
          <w:rFonts w:ascii="黑体" w:hAnsi="黑体" w:cs="黑体"/>
          <w:color w:val="000000"/>
          <w:sz w:val="19"/>
          <w:lang w:eastAsia="zh-CN"/>
        </w:rPr>
      </w:pPr>
      <w:r>
        <w:rPr>
          <w:rFonts w:ascii="黑体" w:hAnsi="黑体" w:cs="黑体"/>
          <w:color w:val="000000"/>
          <w:sz w:val="19"/>
          <w:lang w:eastAsia="zh-CN"/>
        </w:rPr>
        <w:t>说明：科技部设立科技创新领军人才、科技创业领军人才平台。中央宣传部设立哲学社会科学领军人才平台。教育部</w:t>
      </w:r>
    </w:p>
    <w:p w:rsidR="00E37845" w:rsidRDefault="00E22BDD">
      <w:pPr>
        <w:pStyle w:val="Normal0"/>
        <w:framePr w:w="11108" w:wrap="around" w:hAnchor="text" w:x="6072" w:y="5216"/>
        <w:widowControl w:val="0"/>
        <w:autoSpaceDE w:val="0"/>
        <w:autoSpaceDN w:val="0"/>
        <w:adjustRightInd w:val="0"/>
        <w:spacing w:before="0" w:after="0" w:line="218" w:lineRule="exact"/>
        <w:jc w:val="left"/>
        <w:rPr>
          <w:rFonts w:ascii="黑体" w:hAnsi="黑体" w:cs="黑体"/>
          <w:color w:val="000000"/>
          <w:sz w:val="19"/>
          <w:lang w:eastAsia="zh-CN"/>
        </w:rPr>
      </w:pPr>
      <w:r>
        <w:rPr>
          <w:rFonts w:ascii="黑体" w:hAnsi="黑体" w:cs="黑体"/>
          <w:color w:val="000000"/>
          <w:sz w:val="19"/>
          <w:lang w:eastAsia="zh-CN"/>
        </w:rPr>
        <w:t>设立教学名师平台。中央宣传部、教育部、科技部、国防科工局共同设立青年拔尖人才平台</w:t>
      </w:r>
    </w:p>
    <w:p w:rsidR="00E37845" w:rsidRDefault="00E22BDD">
      <w:pPr>
        <w:pStyle w:val="Normal0"/>
        <w:framePr w:w="1043" w:wrap="around" w:hAnchor="text" w:x="2298" w:y="5325"/>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万人计划</w:t>
      </w:r>
    </w:p>
    <w:p w:rsidR="00E37845" w:rsidRDefault="00E22BDD">
      <w:pPr>
        <w:pStyle w:val="Normal0"/>
        <w:framePr w:w="1043" w:wrap="around" w:hAnchor="text" w:x="2298" w:y="5325"/>
        <w:widowControl w:val="0"/>
        <w:autoSpaceDE w:val="0"/>
        <w:autoSpaceDN w:val="0"/>
        <w:adjustRightInd w:val="0"/>
        <w:spacing w:before="0" w:after="0" w:line="218" w:lineRule="exact"/>
        <w:ind w:left="47"/>
        <w:jc w:val="left"/>
        <w:rPr>
          <w:rFonts w:ascii="宋体" w:hAnsi="宋体" w:cs="宋体"/>
          <w:color w:val="000000"/>
          <w:sz w:val="19"/>
          <w:lang w:eastAsia="zh-CN"/>
        </w:rPr>
      </w:pPr>
      <w:r>
        <w:rPr>
          <w:rFonts w:ascii="宋体" w:hAnsi="宋体" w:cs="宋体"/>
          <w:color w:val="000000"/>
          <w:sz w:val="19"/>
          <w:lang w:eastAsia="zh-CN"/>
        </w:rPr>
        <w:t>（</w:t>
      </w:r>
      <w:r>
        <w:rPr>
          <w:rFonts w:ascii="宋体" w:hAnsi="宋体" w:cs="宋体"/>
          <w:color w:val="000000"/>
          <w:sz w:val="19"/>
          <w:lang w:eastAsia="zh-CN"/>
        </w:rPr>
        <w:t>6</w:t>
      </w:r>
      <w:r>
        <w:rPr>
          <w:rFonts w:ascii="宋体" w:hAnsi="宋体" w:cs="宋体"/>
          <w:color w:val="000000"/>
          <w:sz w:val="19"/>
          <w:lang w:eastAsia="zh-CN"/>
        </w:rPr>
        <w:t>月）</w:t>
      </w:r>
    </w:p>
    <w:p w:rsidR="00E37845" w:rsidRDefault="00E22BDD">
      <w:pPr>
        <w:pStyle w:val="Normal0"/>
        <w:framePr w:w="380" w:wrap="around" w:hAnchor="text" w:x="1564" w:y="5434"/>
        <w:widowControl w:val="0"/>
        <w:autoSpaceDE w:val="0"/>
        <w:autoSpaceDN w:val="0"/>
        <w:adjustRightInd w:val="0"/>
        <w:spacing w:before="0" w:after="0" w:line="189" w:lineRule="exact"/>
        <w:jc w:val="left"/>
        <w:rPr>
          <w:rFonts w:ascii="宋体"/>
          <w:color w:val="000000"/>
          <w:sz w:val="19"/>
          <w:lang w:eastAsia="zh-CN"/>
        </w:rPr>
      </w:pPr>
      <w:r>
        <w:rPr>
          <w:rFonts w:ascii="宋体"/>
          <w:color w:val="000000"/>
          <w:sz w:val="19"/>
          <w:lang w:eastAsia="zh-CN"/>
        </w:rPr>
        <w:t>3</w:t>
      </w:r>
    </w:p>
    <w:p w:rsidR="00E37845" w:rsidRDefault="00E22BDD">
      <w:pPr>
        <w:pStyle w:val="Normal0"/>
        <w:framePr w:w="2831" w:wrap="around" w:hAnchor="text" w:x="3498" w:y="6049"/>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中组部牵头；科技部设立国家</w:t>
      </w:r>
    </w:p>
    <w:p w:rsidR="00E37845" w:rsidRDefault="00E22BDD">
      <w:pPr>
        <w:pStyle w:val="Normal0"/>
        <w:framePr w:w="2831" w:wrap="around" w:hAnchor="text" w:x="3498" w:y="6049"/>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重点创新项目平台。教育部、</w:t>
      </w:r>
    </w:p>
    <w:p w:rsidR="00E37845" w:rsidRDefault="00E22BDD">
      <w:pPr>
        <w:pStyle w:val="Normal0"/>
        <w:framePr w:w="2831" w:wrap="around" w:hAnchor="text" w:x="3498" w:y="6049"/>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科技部设立重点学科和实验室</w:t>
      </w:r>
    </w:p>
    <w:p w:rsidR="00E37845" w:rsidRDefault="00E22BDD">
      <w:pPr>
        <w:pStyle w:val="Normal0"/>
        <w:framePr w:w="2831" w:wrap="around" w:hAnchor="text" w:x="3498" w:y="6049"/>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平台。国务院国资委设立企业</w:t>
      </w:r>
    </w:p>
    <w:p w:rsidR="00E37845" w:rsidRDefault="00E22BDD">
      <w:pPr>
        <w:pStyle w:val="Normal0"/>
        <w:framePr w:w="11108" w:wrap="around" w:hAnchor="text" w:x="6072" w:y="6119"/>
        <w:widowControl w:val="0"/>
        <w:autoSpaceDE w:val="0"/>
        <w:autoSpaceDN w:val="0"/>
        <w:adjustRightInd w:val="0"/>
        <w:spacing w:before="0" w:after="0" w:line="189" w:lineRule="exact"/>
        <w:jc w:val="left"/>
        <w:rPr>
          <w:rFonts w:ascii="宋体" w:hAnsi="宋体" w:cs="宋体"/>
          <w:color w:val="000000"/>
          <w:sz w:val="19"/>
          <w:lang w:eastAsia="zh-CN"/>
        </w:rPr>
      </w:pPr>
      <w:r>
        <w:rPr>
          <w:rFonts w:ascii="黑体" w:hAnsi="黑体" w:cs="黑体"/>
          <w:color w:val="000000"/>
          <w:sz w:val="19"/>
          <w:lang w:eastAsia="zh-CN"/>
        </w:rPr>
        <w:t>①</w:t>
      </w:r>
      <w:r>
        <w:rPr>
          <w:rFonts w:ascii="黑体" w:hAnsi="黑体" w:cs="黑体"/>
          <w:color w:val="000000"/>
          <w:sz w:val="19"/>
          <w:lang w:eastAsia="zh-CN"/>
        </w:rPr>
        <w:t>创新人才长期项目</w:t>
      </w:r>
      <w:r>
        <w:rPr>
          <w:rFonts w:ascii="宋体" w:hAnsi="宋体" w:cs="宋体"/>
          <w:color w:val="000000"/>
          <w:sz w:val="19"/>
          <w:lang w:eastAsia="zh-CN"/>
        </w:rPr>
        <w:t>。申报人一般应当取得博士学位，在国外著名高校、科研机构担任相当于教授职务或者在国际知</w:t>
      </w:r>
    </w:p>
    <w:p w:rsidR="00E37845" w:rsidRDefault="00E22BDD">
      <w:pPr>
        <w:pStyle w:val="Normal0"/>
        <w:framePr w:w="11108" w:wrap="around" w:hAnchor="text" w:x="6072" w:y="6119"/>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名企业、金融机构担任高级职务的专业技术人才和经营管理人才，年龄不超过</w:t>
      </w:r>
      <w:r>
        <w:rPr>
          <w:rFonts w:ascii="宋体" w:hAnsi="宋体" w:cs="宋体"/>
          <w:color w:val="000000"/>
          <w:sz w:val="19"/>
          <w:lang w:eastAsia="zh-CN"/>
        </w:rPr>
        <w:t>55</w:t>
      </w:r>
      <w:r>
        <w:rPr>
          <w:rFonts w:ascii="宋体" w:hAnsi="宋体" w:cs="宋体"/>
          <w:color w:val="000000"/>
          <w:sz w:val="19"/>
          <w:lang w:eastAsia="zh-CN"/>
        </w:rPr>
        <w:t>岁。引进时未全职在国内（来华，下</w:t>
      </w:r>
    </w:p>
    <w:p w:rsidR="00E37845" w:rsidRDefault="00E22BDD">
      <w:pPr>
        <w:pStyle w:val="Normal0"/>
        <w:framePr w:w="11108" w:wrap="around" w:hAnchor="text" w:x="6072" w:y="6119"/>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同）工作，或者在国内工作不超过</w:t>
      </w:r>
      <w:r>
        <w:rPr>
          <w:rFonts w:ascii="宋体" w:hAnsi="宋体" w:cs="宋体"/>
          <w:color w:val="000000"/>
          <w:sz w:val="19"/>
          <w:lang w:eastAsia="zh-CN"/>
        </w:rPr>
        <w:t>1</w:t>
      </w:r>
      <w:r>
        <w:rPr>
          <w:rFonts w:ascii="宋体" w:hAnsi="宋体" w:cs="宋体"/>
          <w:color w:val="000000"/>
          <w:sz w:val="19"/>
          <w:lang w:eastAsia="zh-CN"/>
        </w:rPr>
        <w:t>年。引进后须全职在国内工作</w:t>
      </w:r>
      <w:r>
        <w:rPr>
          <w:rFonts w:ascii="宋体" w:hAnsi="宋体" w:cs="宋体"/>
          <w:color w:val="000000"/>
          <w:sz w:val="19"/>
          <w:lang w:eastAsia="zh-CN"/>
        </w:rPr>
        <w:t>3</w:t>
      </w:r>
      <w:r>
        <w:rPr>
          <w:rFonts w:ascii="宋体" w:hAnsi="宋体" w:cs="宋体"/>
          <w:color w:val="000000"/>
          <w:sz w:val="19"/>
          <w:lang w:eastAsia="zh-CN"/>
        </w:rPr>
        <w:t>年以上。</w:t>
      </w:r>
    </w:p>
    <w:p w:rsidR="00E37845" w:rsidRDefault="00E22BDD">
      <w:pPr>
        <w:pStyle w:val="Normal0"/>
        <w:framePr w:w="14068" w:wrap="around" w:hAnchor="text" w:x="3498" w:y="6908"/>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平台。人民银行设立金融机构</w:t>
      </w:r>
      <w:r>
        <w:rPr>
          <w:rFonts w:ascii="黑体" w:hAnsi="黑体" w:cs="黑体"/>
          <w:color w:val="000000"/>
          <w:sz w:val="19"/>
          <w:lang w:eastAsia="zh-CN"/>
        </w:rPr>
        <w:t>②</w:t>
      </w:r>
      <w:r>
        <w:rPr>
          <w:rFonts w:ascii="黑体" w:hAnsi="黑体" w:cs="黑体"/>
          <w:color w:val="000000"/>
          <w:sz w:val="19"/>
          <w:lang w:eastAsia="zh-CN"/>
        </w:rPr>
        <w:t>创新人才短期项目（含非华裔外国专家）</w:t>
      </w:r>
      <w:r>
        <w:rPr>
          <w:rFonts w:ascii="宋体" w:hAnsi="宋体" w:cs="宋体"/>
          <w:color w:val="000000"/>
          <w:sz w:val="19"/>
          <w:lang w:eastAsia="zh-CN"/>
        </w:rPr>
        <w:t>。引进时未全职在国内工作，且符合创新人才长期项目其他资格条件。引</w:t>
      </w:r>
    </w:p>
    <w:p w:rsidR="00E37845" w:rsidRDefault="00E22BDD">
      <w:pPr>
        <w:pStyle w:val="Normal0"/>
        <w:framePr w:w="14068" w:wrap="around" w:hAnchor="text" w:x="3498" w:y="6908"/>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平台（含青年项目试点）。科进后须在国内连续工作</w:t>
      </w:r>
      <w:r>
        <w:rPr>
          <w:rFonts w:ascii="宋体" w:hAnsi="宋体" w:cs="宋体"/>
          <w:color w:val="000000"/>
          <w:sz w:val="19"/>
          <w:lang w:eastAsia="zh-CN"/>
        </w:rPr>
        <w:t>3</w:t>
      </w:r>
      <w:r>
        <w:rPr>
          <w:rFonts w:ascii="宋体" w:hAnsi="宋体" w:cs="宋体"/>
          <w:color w:val="000000"/>
          <w:sz w:val="19"/>
          <w:lang w:eastAsia="zh-CN"/>
        </w:rPr>
        <w:t>年以上，每年不少于</w:t>
      </w:r>
      <w:r>
        <w:rPr>
          <w:rFonts w:ascii="宋体" w:hAnsi="宋体" w:cs="宋体"/>
          <w:color w:val="000000"/>
          <w:sz w:val="19"/>
          <w:lang w:eastAsia="zh-CN"/>
        </w:rPr>
        <w:t>2</w:t>
      </w:r>
      <w:r>
        <w:rPr>
          <w:rFonts w:ascii="宋体" w:hAnsi="宋体" w:cs="宋体"/>
          <w:color w:val="000000"/>
          <w:sz w:val="19"/>
          <w:lang w:eastAsia="zh-CN"/>
        </w:rPr>
        <w:t>个月。</w:t>
      </w:r>
    </w:p>
    <w:p w:rsidR="00E37845" w:rsidRDefault="00E22BDD">
      <w:pPr>
        <w:pStyle w:val="Normal0"/>
        <w:framePr w:w="14068" w:wrap="around" w:hAnchor="text" w:x="3498" w:y="6908"/>
        <w:widowControl w:val="0"/>
        <w:autoSpaceDE w:val="0"/>
        <w:autoSpaceDN w:val="0"/>
        <w:adjustRightInd w:val="0"/>
        <w:spacing w:before="0" w:after="0" w:line="233" w:lineRule="exact"/>
        <w:jc w:val="left"/>
        <w:rPr>
          <w:rFonts w:ascii="宋体" w:hAnsi="宋体" w:cs="宋体"/>
          <w:color w:val="000000"/>
          <w:sz w:val="19"/>
          <w:lang w:eastAsia="zh-CN"/>
        </w:rPr>
      </w:pPr>
      <w:r>
        <w:rPr>
          <w:rFonts w:ascii="宋体" w:hAnsi="宋体" w:cs="宋体"/>
          <w:color w:val="000000"/>
          <w:sz w:val="19"/>
          <w:lang w:eastAsia="zh-CN"/>
        </w:rPr>
        <w:t>技部、人力资源社会保障部设</w:t>
      </w:r>
    </w:p>
    <w:p w:rsidR="00E37845" w:rsidRDefault="00E22BDD">
      <w:pPr>
        <w:pStyle w:val="Normal0"/>
        <w:framePr w:w="11108" w:wrap="around" w:hAnchor="text" w:x="6072" w:y="7483"/>
        <w:widowControl w:val="0"/>
        <w:autoSpaceDE w:val="0"/>
        <w:autoSpaceDN w:val="0"/>
        <w:adjustRightInd w:val="0"/>
        <w:spacing w:before="0" w:after="0" w:line="189" w:lineRule="exact"/>
        <w:jc w:val="left"/>
        <w:rPr>
          <w:rFonts w:ascii="宋体" w:hAnsi="宋体" w:cs="宋体"/>
          <w:color w:val="000000"/>
          <w:sz w:val="19"/>
          <w:lang w:eastAsia="zh-CN"/>
        </w:rPr>
      </w:pPr>
      <w:r>
        <w:rPr>
          <w:rFonts w:ascii="黑体" w:hAnsi="黑体" w:cs="黑体"/>
          <w:color w:val="000000"/>
          <w:sz w:val="19"/>
          <w:lang w:eastAsia="zh-CN"/>
        </w:rPr>
        <w:t>③</w:t>
      </w:r>
      <w:r>
        <w:rPr>
          <w:rFonts w:ascii="黑体" w:hAnsi="黑体" w:cs="黑体"/>
          <w:color w:val="000000"/>
          <w:sz w:val="19"/>
          <w:lang w:eastAsia="zh-CN"/>
        </w:rPr>
        <w:t>青年项目</w:t>
      </w:r>
      <w:r>
        <w:rPr>
          <w:rFonts w:ascii="宋体" w:hAnsi="宋体" w:cs="宋体"/>
          <w:color w:val="000000"/>
          <w:sz w:val="19"/>
          <w:lang w:eastAsia="zh-CN"/>
        </w:rPr>
        <w:t>。高等学校、科研机构、中央企业的申报人，应当属于自然科学或者工程技术领域，年龄不超过</w:t>
      </w:r>
      <w:r>
        <w:rPr>
          <w:rFonts w:ascii="宋体" w:hAnsi="宋体" w:cs="宋体"/>
          <w:color w:val="000000"/>
          <w:sz w:val="19"/>
          <w:lang w:eastAsia="zh-CN"/>
        </w:rPr>
        <w:t>40</w:t>
      </w:r>
      <w:r>
        <w:rPr>
          <w:rFonts w:ascii="宋体" w:hAnsi="宋体" w:cs="宋体"/>
          <w:color w:val="000000"/>
          <w:sz w:val="19"/>
          <w:lang w:eastAsia="zh-CN"/>
        </w:rPr>
        <w:t>岁，具</w:t>
      </w:r>
    </w:p>
    <w:p w:rsidR="00E37845" w:rsidRDefault="00E22BDD">
      <w:pPr>
        <w:pStyle w:val="Normal0"/>
        <w:framePr w:w="2831" w:wrap="around" w:hAnchor="text" w:x="3498" w:y="7578"/>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立创业人才平台。国家外专局</w:t>
      </w:r>
    </w:p>
    <w:p w:rsidR="00E37845" w:rsidRDefault="00E22BDD">
      <w:pPr>
        <w:pStyle w:val="Normal0"/>
        <w:framePr w:w="14068" w:wrap="around" w:hAnchor="text" w:x="3498" w:y="7702"/>
        <w:widowControl w:val="0"/>
        <w:autoSpaceDE w:val="0"/>
        <w:autoSpaceDN w:val="0"/>
        <w:adjustRightInd w:val="0"/>
        <w:spacing w:before="0" w:after="0" w:line="189" w:lineRule="exact"/>
        <w:ind w:left="2574"/>
        <w:jc w:val="left"/>
        <w:rPr>
          <w:rFonts w:ascii="宋体" w:hAnsi="宋体" w:cs="宋体"/>
          <w:color w:val="000000"/>
          <w:sz w:val="19"/>
          <w:lang w:eastAsia="zh-CN"/>
        </w:rPr>
      </w:pPr>
      <w:r>
        <w:rPr>
          <w:rFonts w:ascii="宋体" w:hAnsi="宋体" w:cs="宋体"/>
          <w:color w:val="000000"/>
          <w:sz w:val="19"/>
          <w:lang w:eastAsia="zh-CN"/>
        </w:rPr>
        <w:t>有博士学位，并符合下列条件：（一）在海外知名高校、科研机构或者知名企业研发机构有正式教学或者科研职位，</w:t>
      </w:r>
    </w:p>
    <w:p w:rsidR="00E37845" w:rsidRDefault="00E22BDD">
      <w:pPr>
        <w:pStyle w:val="Normal0"/>
        <w:framePr w:w="14068" w:wrap="around" w:hAnchor="text" w:x="3498" w:y="7702"/>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设立外国专家项目平台。教育</w:t>
      </w:r>
    </w:p>
    <w:p w:rsidR="00E37845" w:rsidRDefault="00E22BDD">
      <w:pPr>
        <w:pStyle w:val="Normal0"/>
        <w:framePr w:w="14068" w:wrap="around" w:hAnchor="text" w:x="3498" w:y="7920"/>
        <w:widowControl w:val="0"/>
        <w:autoSpaceDE w:val="0"/>
        <w:autoSpaceDN w:val="0"/>
        <w:adjustRightInd w:val="0"/>
        <w:spacing w:before="0" w:after="0" w:line="189" w:lineRule="exact"/>
        <w:ind w:left="2574"/>
        <w:jc w:val="left"/>
        <w:rPr>
          <w:rFonts w:ascii="宋体" w:hAnsi="宋体" w:cs="宋体"/>
          <w:color w:val="000000"/>
          <w:sz w:val="19"/>
          <w:lang w:eastAsia="zh-CN"/>
        </w:rPr>
      </w:pPr>
      <w:r>
        <w:rPr>
          <w:rFonts w:ascii="宋体" w:hAnsi="宋体" w:cs="宋体"/>
          <w:color w:val="000000"/>
          <w:sz w:val="19"/>
          <w:lang w:eastAsia="zh-CN"/>
        </w:rPr>
        <w:t>取得博士学位后在海外连续工作</w:t>
      </w:r>
      <w:r>
        <w:rPr>
          <w:rFonts w:ascii="宋体" w:hAnsi="宋体" w:cs="宋体"/>
          <w:color w:val="000000"/>
          <w:sz w:val="19"/>
          <w:lang w:eastAsia="zh-CN"/>
        </w:rPr>
        <w:t>36</w:t>
      </w:r>
      <w:r>
        <w:rPr>
          <w:rFonts w:ascii="宋体" w:hAnsi="宋体" w:cs="宋体"/>
          <w:color w:val="000000"/>
          <w:sz w:val="19"/>
          <w:lang w:eastAsia="zh-CN"/>
        </w:rPr>
        <w:t>个月以上；（二）取得同行专家认可的科研成果，且具有成为该领域学术或者技术</w:t>
      </w:r>
    </w:p>
    <w:p w:rsidR="00E37845" w:rsidRDefault="00E22BDD">
      <w:pPr>
        <w:pStyle w:val="Normal0"/>
        <w:framePr w:w="14068" w:wrap="around" w:hAnchor="text" w:x="3498" w:y="7920"/>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部、科技部、人力资源社会保</w:t>
      </w:r>
    </w:p>
    <w:p w:rsidR="00E37845" w:rsidRDefault="00E22BDD">
      <w:pPr>
        <w:pStyle w:val="Normal0"/>
        <w:framePr w:w="14068" w:wrap="around" w:hAnchor="text" w:x="3498" w:y="7920"/>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障部、国务院国资委、中科院</w:t>
      </w:r>
    </w:p>
    <w:p w:rsidR="00E37845" w:rsidRDefault="00E22BDD">
      <w:pPr>
        <w:pStyle w:val="Normal0"/>
        <w:framePr w:w="11108" w:wrap="around" w:hAnchor="text" w:x="6072" w:y="8139"/>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带头人的发展潜力；（三）申报时未全职在国内工作，或者在国内工作不超过</w:t>
      </w:r>
      <w:r>
        <w:rPr>
          <w:rFonts w:ascii="宋体" w:hAnsi="宋体" w:cs="宋体"/>
          <w:color w:val="000000"/>
          <w:sz w:val="19"/>
          <w:lang w:eastAsia="zh-CN"/>
        </w:rPr>
        <w:t>1</w:t>
      </w:r>
      <w:r>
        <w:rPr>
          <w:rFonts w:ascii="宋体" w:hAnsi="宋体" w:cs="宋体"/>
          <w:color w:val="000000"/>
          <w:sz w:val="19"/>
          <w:lang w:eastAsia="zh-CN"/>
        </w:rPr>
        <w:t>年；（四）引进后须全职在国内工作</w:t>
      </w:r>
      <w:r>
        <w:rPr>
          <w:rFonts w:ascii="宋体" w:hAnsi="宋体" w:cs="宋体"/>
          <w:color w:val="000000"/>
          <w:sz w:val="19"/>
          <w:lang w:eastAsia="zh-CN"/>
        </w:rPr>
        <w:t>3</w:t>
      </w:r>
    </w:p>
    <w:p w:rsidR="00E37845" w:rsidRDefault="00E22BDD">
      <w:pPr>
        <w:pStyle w:val="Normal0"/>
        <w:framePr w:w="1043" w:wrap="around" w:hAnchor="text" w:x="6072" w:y="8357"/>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年以上。</w:t>
      </w:r>
    </w:p>
    <w:p w:rsidR="00E37845" w:rsidRDefault="00E22BDD">
      <w:pPr>
        <w:pStyle w:val="Normal0"/>
        <w:framePr w:w="1043" w:wrap="around" w:hAnchor="text" w:x="2298" w:y="8442"/>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千人计划</w:t>
      </w:r>
    </w:p>
    <w:p w:rsidR="00E37845" w:rsidRDefault="00E22BDD">
      <w:pPr>
        <w:pStyle w:val="Normal0"/>
        <w:framePr w:w="1043" w:wrap="around" w:hAnchor="text" w:x="2298" w:y="8442"/>
        <w:widowControl w:val="0"/>
        <w:autoSpaceDE w:val="0"/>
        <w:autoSpaceDN w:val="0"/>
        <w:adjustRightInd w:val="0"/>
        <w:spacing w:before="0" w:after="0" w:line="218" w:lineRule="exact"/>
        <w:ind w:left="47"/>
        <w:jc w:val="left"/>
        <w:rPr>
          <w:rFonts w:ascii="宋体" w:hAnsi="宋体" w:cs="宋体"/>
          <w:color w:val="000000"/>
          <w:sz w:val="19"/>
          <w:lang w:eastAsia="zh-CN"/>
        </w:rPr>
      </w:pPr>
      <w:r>
        <w:rPr>
          <w:rFonts w:ascii="宋体" w:hAnsi="宋体" w:cs="宋体"/>
          <w:color w:val="000000"/>
          <w:sz w:val="19"/>
          <w:lang w:eastAsia="zh-CN"/>
        </w:rPr>
        <w:t>（</w:t>
      </w:r>
      <w:r>
        <w:rPr>
          <w:rFonts w:ascii="宋体" w:hAnsi="宋体" w:cs="宋体"/>
          <w:color w:val="000000"/>
          <w:sz w:val="19"/>
          <w:lang w:eastAsia="zh-CN"/>
        </w:rPr>
        <w:t>6</w:t>
      </w:r>
      <w:r>
        <w:rPr>
          <w:rFonts w:ascii="宋体" w:hAnsi="宋体" w:cs="宋体"/>
          <w:color w:val="000000"/>
          <w:sz w:val="19"/>
          <w:lang w:eastAsia="zh-CN"/>
        </w:rPr>
        <w:t>月）</w:t>
      </w:r>
    </w:p>
    <w:p w:rsidR="00E37845" w:rsidRDefault="00E22BDD">
      <w:pPr>
        <w:pStyle w:val="Normal0"/>
        <w:framePr w:w="2831" w:wrap="around" w:hAnchor="text" w:x="3498" w:y="8452"/>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、工程院、自然科学基金会等</w:t>
      </w:r>
    </w:p>
    <w:p w:rsidR="00E37845" w:rsidRDefault="00E22BDD">
      <w:pPr>
        <w:pStyle w:val="Normal0"/>
        <w:framePr w:w="2831" w:wrap="around" w:hAnchor="text" w:x="3498" w:y="8452"/>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单位共同设立青年项目平台。</w:t>
      </w:r>
    </w:p>
    <w:p w:rsidR="00E37845" w:rsidRDefault="00E22BDD">
      <w:pPr>
        <w:pStyle w:val="Normal0"/>
        <w:framePr w:w="380" w:wrap="around" w:hAnchor="text" w:x="1564" w:y="8551"/>
        <w:widowControl w:val="0"/>
        <w:autoSpaceDE w:val="0"/>
        <w:autoSpaceDN w:val="0"/>
        <w:adjustRightInd w:val="0"/>
        <w:spacing w:before="0" w:after="0" w:line="189" w:lineRule="exact"/>
        <w:jc w:val="left"/>
        <w:rPr>
          <w:rFonts w:ascii="宋体"/>
          <w:color w:val="000000"/>
          <w:sz w:val="19"/>
          <w:lang w:eastAsia="zh-CN"/>
        </w:rPr>
      </w:pPr>
      <w:r>
        <w:rPr>
          <w:rFonts w:ascii="宋体"/>
          <w:color w:val="000000"/>
          <w:sz w:val="19"/>
          <w:lang w:eastAsia="zh-CN"/>
        </w:rPr>
        <w:t>4</w:t>
      </w:r>
    </w:p>
    <w:p w:rsidR="00E37845" w:rsidRDefault="00E22BDD">
      <w:pPr>
        <w:pStyle w:val="Normal0"/>
        <w:framePr w:w="11217" w:wrap="around" w:hAnchor="text" w:x="6072" w:y="8782"/>
        <w:widowControl w:val="0"/>
        <w:autoSpaceDE w:val="0"/>
        <w:autoSpaceDN w:val="0"/>
        <w:adjustRightInd w:val="0"/>
        <w:spacing w:before="0" w:after="0" w:line="189" w:lineRule="exact"/>
        <w:jc w:val="left"/>
        <w:rPr>
          <w:rFonts w:ascii="宋体" w:hAnsi="宋体" w:cs="宋体"/>
          <w:color w:val="000000"/>
          <w:sz w:val="19"/>
          <w:lang w:eastAsia="zh-CN"/>
        </w:rPr>
      </w:pPr>
      <w:r>
        <w:rPr>
          <w:rFonts w:ascii="黑体" w:hAnsi="黑体" w:cs="黑体"/>
          <w:color w:val="000000"/>
          <w:sz w:val="19"/>
          <w:lang w:eastAsia="zh-CN"/>
        </w:rPr>
        <w:t>④</w:t>
      </w:r>
      <w:r>
        <w:rPr>
          <w:rFonts w:ascii="黑体" w:hAnsi="黑体" w:cs="黑体"/>
          <w:color w:val="000000"/>
          <w:sz w:val="19"/>
          <w:lang w:eastAsia="zh-CN"/>
        </w:rPr>
        <w:t>外国专家项目</w:t>
      </w:r>
      <w:r>
        <w:rPr>
          <w:rFonts w:ascii="宋体" w:hAnsi="宋体" w:cs="宋体"/>
          <w:color w:val="000000"/>
          <w:sz w:val="19"/>
          <w:lang w:eastAsia="zh-CN"/>
        </w:rPr>
        <w:t>。申报人应当为非华裔外国专家，年龄不超过</w:t>
      </w:r>
      <w:r>
        <w:rPr>
          <w:rFonts w:ascii="宋体" w:hAnsi="宋体" w:cs="宋体"/>
          <w:color w:val="000000"/>
          <w:sz w:val="19"/>
          <w:lang w:eastAsia="zh-CN"/>
        </w:rPr>
        <w:t>65</w:t>
      </w:r>
      <w:r>
        <w:rPr>
          <w:rFonts w:ascii="宋体" w:hAnsi="宋体" w:cs="宋体"/>
          <w:color w:val="000000"/>
          <w:sz w:val="19"/>
          <w:lang w:eastAsia="zh-CN"/>
        </w:rPr>
        <w:t>岁，引进后须全职来华工作</w:t>
      </w:r>
      <w:r>
        <w:rPr>
          <w:rFonts w:ascii="宋体" w:hAnsi="宋体" w:cs="宋体"/>
          <w:color w:val="000000"/>
          <w:sz w:val="19"/>
          <w:lang w:eastAsia="zh-CN"/>
        </w:rPr>
        <w:t>3</w:t>
      </w:r>
      <w:r>
        <w:rPr>
          <w:rFonts w:ascii="宋体" w:hAnsi="宋体" w:cs="宋体"/>
          <w:color w:val="000000"/>
          <w:sz w:val="19"/>
          <w:lang w:eastAsia="zh-CN"/>
        </w:rPr>
        <w:t>年以上。其他资格条件应</w:t>
      </w:r>
    </w:p>
    <w:p w:rsidR="00E37845" w:rsidRDefault="00E22BDD">
      <w:pPr>
        <w:pStyle w:val="Normal0"/>
        <w:framePr w:w="6010" w:wrap="around" w:hAnchor="text" w:x="3498" w:y="8889"/>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文化部设立文化艺术人才项目</w:t>
      </w:r>
    </w:p>
    <w:p w:rsidR="00E37845" w:rsidRDefault="00E22BDD">
      <w:pPr>
        <w:pStyle w:val="Normal0"/>
        <w:framePr w:w="6010" w:wrap="around" w:hAnchor="text" w:x="3498" w:y="8889"/>
        <w:widowControl w:val="0"/>
        <w:autoSpaceDE w:val="0"/>
        <w:autoSpaceDN w:val="0"/>
        <w:adjustRightInd w:val="0"/>
        <w:spacing w:before="0" w:after="0" w:line="189" w:lineRule="exact"/>
        <w:ind w:left="2574"/>
        <w:jc w:val="left"/>
        <w:rPr>
          <w:rFonts w:ascii="宋体" w:hAnsi="宋体" w:cs="宋体"/>
          <w:color w:val="000000"/>
          <w:sz w:val="19"/>
          <w:lang w:eastAsia="zh-CN"/>
        </w:rPr>
      </w:pPr>
      <w:r>
        <w:rPr>
          <w:rFonts w:ascii="宋体" w:hAnsi="宋体" w:cs="宋体"/>
          <w:color w:val="000000"/>
          <w:sz w:val="19"/>
          <w:lang w:eastAsia="zh-CN"/>
        </w:rPr>
        <w:t>当符合创新人才长期项目要求。</w:t>
      </w:r>
    </w:p>
    <w:p w:rsidR="00E37845" w:rsidRDefault="00E22BDD">
      <w:pPr>
        <w:pStyle w:val="Normal0"/>
        <w:framePr w:w="6010" w:wrap="around" w:hAnchor="text" w:x="3498" w:y="8889"/>
        <w:widowControl w:val="0"/>
        <w:autoSpaceDE w:val="0"/>
        <w:autoSpaceDN w:val="0"/>
        <w:adjustRightInd w:val="0"/>
        <w:spacing w:before="0" w:after="0" w:line="189" w:lineRule="exact"/>
        <w:ind w:left="947"/>
        <w:jc w:val="left"/>
        <w:rPr>
          <w:rFonts w:ascii="宋体" w:hAnsi="宋体" w:cs="宋体"/>
          <w:color w:val="000000"/>
          <w:sz w:val="19"/>
          <w:lang w:eastAsia="zh-CN"/>
        </w:rPr>
      </w:pPr>
      <w:r>
        <w:rPr>
          <w:rFonts w:ascii="宋体" w:hAnsi="宋体" w:cs="宋体"/>
          <w:color w:val="000000"/>
          <w:sz w:val="19"/>
          <w:lang w:eastAsia="zh-CN"/>
        </w:rPr>
        <w:t>平台。</w:t>
      </w:r>
    </w:p>
    <w:p w:rsidR="00E37845" w:rsidRDefault="00E22BDD">
      <w:pPr>
        <w:pStyle w:val="Normal0"/>
        <w:framePr w:w="11217" w:wrap="around" w:hAnchor="text" w:x="6072" w:y="9360"/>
        <w:widowControl w:val="0"/>
        <w:autoSpaceDE w:val="0"/>
        <w:autoSpaceDN w:val="0"/>
        <w:adjustRightInd w:val="0"/>
        <w:spacing w:before="0" w:after="0" w:line="189" w:lineRule="exact"/>
        <w:jc w:val="left"/>
        <w:rPr>
          <w:rFonts w:ascii="宋体" w:hAnsi="宋体" w:cs="宋体"/>
          <w:color w:val="000000"/>
          <w:sz w:val="19"/>
          <w:lang w:eastAsia="zh-CN"/>
        </w:rPr>
      </w:pPr>
      <w:r>
        <w:rPr>
          <w:rFonts w:ascii="黑体" w:hAnsi="黑体" w:cs="黑体"/>
          <w:color w:val="000000"/>
          <w:sz w:val="19"/>
          <w:lang w:eastAsia="zh-CN"/>
        </w:rPr>
        <w:t>⑤</w:t>
      </w:r>
      <w:r>
        <w:rPr>
          <w:rFonts w:ascii="黑体" w:hAnsi="黑体" w:cs="黑体"/>
          <w:color w:val="000000"/>
          <w:sz w:val="19"/>
          <w:lang w:eastAsia="zh-CN"/>
        </w:rPr>
        <w:t>顶尖人才与创新团队项目</w:t>
      </w:r>
      <w:r>
        <w:rPr>
          <w:rFonts w:ascii="宋体" w:hAnsi="宋体" w:cs="宋体"/>
          <w:color w:val="000000"/>
          <w:sz w:val="19"/>
          <w:lang w:eastAsia="zh-CN"/>
        </w:rPr>
        <w:t>。申报人应当为自然科学或者工程技术领域的国际顶尖专家，引进后须全职在国内工作</w:t>
      </w:r>
      <w:r>
        <w:rPr>
          <w:rFonts w:ascii="宋体" w:hAnsi="宋体" w:cs="宋体"/>
          <w:color w:val="000000"/>
          <w:sz w:val="19"/>
          <w:lang w:eastAsia="zh-CN"/>
        </w:rPr>
        <w:t>5</w:t>
      </w:r>
      <w:r>
        <w:rPr>
          <w:rFonts w:ascii="宋体" w:hAnsi="宋体" w:cs="宋体"/>
          <w:color w:val="000000"/>
          <w:sz w:val="19"/>
          <w:lang w:eastAsia="zh-CN"/>
        </w:rPr>
        <w:t>年</w:t>
      </w:r>
    </w:p>
    <w:p w:rsidR="00E37845" w:rsidRDefault="00E22BDD">
      <w:pPr>
        <w:pStyle w:val="Normal0"/>
        <w:framePr w:w="11217" w:wrap="around" w:hAnchor="text" w:x="6072" w:y="9360"/>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以上，并具备下列条件之一：（一）诺贝尔奖、图灵奖、菲尔茨奖等国际大奖的获得者；（二）美国、英国、加拿大</w:t>
      </w:r>
    </w:p>
    <w:p w:rsidR="00E37845" w:rsidRDefault="00E22BDD">
      <w:pPr>
        <w:pStyle w:val="Normal0"/>
        <w:framePr w:w="11217" w:wrap="around" w:hAnchor="text" w:x="6072" w:y="9360"/>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、澳大利亚等发达国家科学院院士或者工程院院士；（三）在世界一流大学、科研机构任职的国际著名学者；（四）</w:t>
      </w:r>
    </w:p>
    <w:p w:rsidR="00E37845" w:rsidRDefault="00E22BDD">
      <w:pPr>
        <w:pStyle w:val="Normal0"/>
        <w:framePr w:w="11217" w:wrap="around" w:hAnchor="text" w:x="6072" w:y="9360"/>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国家急需紧缺的其他顶尖人才。</w:t>
      </w:r>
    </w:p>
    <w:p w:rsidR="00E37845" w:rsidRDefault="00E22BDD">
      <w:pPr>
        <w:pStyle w:val="Normal0"/>
        <w:spacing w:before="0" w:after="0" w:line="0" w:lineRule="atLeast"/>
        <w:jc w:val="left"/>
        <w:rPr>
          <w:rFonts w:ascii="Arial"/>
          <w:color w:val="FF0000"/>
          <w:sz w:val="14"/>
          <w:lang w:eastAsia="zh-CN"/>
        </w:rPr>
        <w:sectPr w:rsidR="00E37845">
          <w:pgSz w:w="16820" w:h="11900" w:orient="landscape"/>
          <w:pgMar w:top="0" w:right="0" w:bottom="0" w:left="0" w:header="720" w:footer="720" w:gutter="0"/>
          <w:cols w:space="720"/>
          <w:docGrid w:linePitch="1"/>
        </w:sectPr>
      </w:pPr>
      <w:r>
        <w:rPr>
          <w:noProof/>
          <w:lang w:val="en-US" w:eastAsia="zh-CN"/>
        </w:rPr>
        <w:drawing>
          <wp:anchor distT="0" distB="0" distL="114300" distR="114300" simplePos="0" relativeHeight="251621888" behindDoc="1" locked="1" layoutInCell="1" allowOverlap="1">
            <wp:simplePos x="0" y="0"/>
            <wp:positionH relativeFrom="page">
              <wp:posOffset>822960</wp:posOffset>
            </wp:positionH>
            <wp:positionV relativeFrom="page">
              <wp:posOffset>922655</wp:posOffset>
            </wp:positionV>
            <wp:extent cx="10088880" cy="6240780"/>
            <wp:effectExtent l="0" t="0" r="7620" b="7620"/>
            <wp:wrapNone/>
            <wp:docPr id="2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0"/>
                    <pic:cNvPicPr>
                      <a:picLocks noChangeAspect="1"/>
                    </pic:cNvPicPr>
                  </pic:nvPicPr>
                  <pic:blipFill>
                    <a:blip r:embed="rId19" cstate="print"/>
                    <a:stretch>
                      <a:fillRect/>
                    </a:stretch>
                  </pic:blipFill>
                  <pic:spPr>
                    <a:xfrm>
                      <a:off x="0" y="0"/>
                      <a:ext cx="10088880" cy="6240780"/>
                    </a:xfrm>
                    <a:prstGeom prst="rect">
                      <a:avLst/>
                    </a:prstGeom>
                    <a:noFill/>
                    <a:ln w="9525">
                      <a:noFill/>
                    </a:ln>
                  </pic:spPr>
                </pic:pic>
              </a:graphicData>
            </a:graphic>
          </wp:anchor>
        </w:drawing>
      </w:r>
      <w:r>
        <w:rPr>
          <w:rFonts w:ascii="Arial"/>
          <w:color w:val="FF0000"/>
          <w:sz w:val="14"/>
          <w:lang w:eastAsia="zh-CN"/>
        </w:rPr>
        <w:cr/>
      </w:r>
    </w:p>
    <w:p w:rsidR="00E37845" w:rsidRDefault="00E37845">
      <w:pPr>
        <w:pStyle w:val="Normal1"/>
        <w:spacing w:before="0" w:after="0" w:line="0" w:lineRule="atLeast"/>
        <w:jc w:val="left"/>
        <w:rPr>
          <w:rFonts w:ascii="Arial"/>
          <w:color w:val="FF0000"/>
          <w:sz w:val="2"/>
          <w:lang w:eastAsia="zh-CN"/>
        </w:rPr>
      </w:pPr>
      <w:bookmarkStart w:id="1258" w:name="br1_0"/>
      <w:bookmarkEnd w:id="1258"/>
    </w:p>
    <w:p w:rsidR="00E37845" w:rsidRDefault="00E22BDD">
      <w:pPr>
        <w:pStyle w:val="Normal0"/>
        <w:framePr w:w="11265" w:wrap="around" w:hAnchor="page" w:x="3433" w:y="852"/>
        <w:widowControl w:val="0"/>
        <w:autoSpaceDE w:val="0"/>
        <w:autoSpaceDN w:val="0"/>
        <w:adjustRightInd w:val="0"/>
        <w:spacing w:before="0" w:after="0" w:line="501" w:lineRule="exact"/>
        <w:jc w:val="left"/>
        <w:rPr>
          <w:rFonts w:ascii="黑体" w:eastAsia="黑体" w:hAnsi="黑体" w:cs="黑体"/>
          <w:color w:val="000000"/>
          <w:sz w:val="36"/>
          <w:szCs w:val="36"/>
          <w:lang w:val="en-US" w:eastAsia="zh-CN"/>
        </w:rPr>
      </w:pPr>
      <w:r>
        <w:rPr>
          <w:rFonts w:ascii="黑体" w:eastAsia="黑体" w:hAnsi="黑体" w:cs="黑体" w:hint="eastAsia"/>
          <w:color w:val="000000"/>
          <w:sz w:val="36"/>
          <w:szCs w:val="36"/>
          <w:lang w:eastAsia="zh-CN"/>
        </w:rPr>
        <w:t>广州大学申报国家（省市）各类人才项目一览表（</w:t>
      </w:r>
      <w:r>
        <w:rPr>
          <w:rFonts w:ascii="黑体" w:eastAsia="黑体" w:hAnsi="黑体" w:cs="黑体" w:hint="eastAsia"/>
          <w:color w:val="000000"/>
          <w:sz w:val="36"/>
          <w:szCs w:val="36"/>
          <w:lang w:val="en-US" w:eastAsia="zh-CN"/>
        </w:rPr>
        <w:t>人事处）</w:t>
      </w:r>
    </w:p>
    <w:p w:rsidR="00E37845" w:rsidRDefault="00E22BDD">
      <w:pPr>
        <w:pStyle w:val="Normal1"/>
        <w:framePr w:w="664" w:wrap="around" w:hAnchor="text" w:x="1422" w:y="1754"/>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序号</w:t>
      </w:r>
    </w:p>
    <w:p w:rsidR="00E37845" w:rsidRDefault="00E22BDD">
      <w:pPr>
        <w:pStyle w:val="Normal1"/>
        <w:framePr w:w="1043" w:wrap="around" w:hAnchor="text" w:x="2298" w:y="1754"/>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项目名称</w:t>
      </w:r>
    </w:p>
    <w:p w:rsidR="00E37845" w:rsidRDefault="00E22BDD">
      <w:pPr>
        <w:pStyle w:val="Normal1"/>
        <w:framePr w:w="1043" w:wrap="around" w:hAnchor="text" w:x="4350" w:y="1754"/>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主管部门</w:t>
      </w:r>
    </w:p>
    <w:p w:rsidR="00E37845" w:rsidRDefault="00E22BDD">
      <w:pPr>
        <w:pStyle w:val="Normal1"/>
        <w:framePr w:w="1137" w:wrap="around" w:hAnchor="text" w:x="10529" w:y="1754"/>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内容简介</w:t>
      </w:r>
      <w:r>
        <w:rPr>
          <w:rFonts w:ascii="宋体" w:hAnsi="宋体" w:cs="宋体"/>
          <w:color w:val="000000"/>
          <w:sz w:val="19"/>
          <w:lang w:eastAsia="zh-CN"/>
        </w:rPr>
        <w:t xml:space="preserve"> </w:t>
      </w:r>
    </w:p>
    <w:p w:rsidR="00E37845" w:rsidRDefault="00E22BDD">
      <w:pPr>
        <w:pStyle w:val="Normal1"/>
        <w:framePr w:w="11217" w:wrap="around" w:hAnchor="text" w:x="6072" w:y="2320"/>
        <w:widowControl w:val="0"/>
        <w:autoSpaceDE w:val="0"/>
        <w:autoSpaceDN w:val="0"/>
        <w:adjustRightInd w:val="0"/>
        <w:spacing w:before="0" w:after="0" w:line="189" w:lineRule="exact"/>
        <w:jc w:val="left"/>
        <w:rPr>
          <w:rFonts w:ascii="宋体" w:hAnsi="宋体" w:cs="宋体"/>
          <w:color w:val="000000"/>
          <w:sz w:val="19"/>
          <w:lang w:eastAsia="zh-CN"/>
        </w:rPr>
      </w:pPr>
      <w:r>
        <w:rPr>
          <w:rFonts w:ascii="黑体" w:hAnsi="黑体" w:cs="黑体"/>
          <w:color w:val="000000"/>
          <w:sz w:val="19"/>
          <w:lang w:eastAsia="zh-CN"/>
        </w:rPr>
        <w:t>⑥</w:t>
      </w:r>
      <w:r>
        <w:rPr>
          <w:rFonts w:ascii="黑体" w:hAnsi="黑体" w:cs="黑体"/>
          <w:color w:val="000000"/>
          <w:sz w:val="19"/>
          <w:lang w:eastAsia="zh-CN"/>
        </w:rPr>
        <w:t>文化艺术人才项目。</w:t>
      </w:r>
      <w:r>
        <w:rPr>
          <w:rFonts w:ascii="宋体" w:hAnsi="宋体" w:cs="宋体"/>
          <w:color w:val="000000"/>
          <w:sz w:val="19"/>
          <w:lang w:eastAsia="zh-CN"/>
        </w:rPr>
        <w:t>引进主体为国有文化单位、高等学校和有影响力的非公有制文化单位。从事研究工作的申报人</w:t>
      </w:r>
    </w:p>
    <w:p w:rsidR="00E37845" w:rsidRDefault="00E22BDD">
      <w:pPr>
        <w:pStyle w:val="Normal1"/>
        <w:framePr w:w="11217" w:wrap="around" w:hAnchor="text" w:x="6072" w:y="2320"/>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，一般应当取得博士学位，年龄不超过</w:t>
      </w:r>
      <w:r>
        <w:rPr>
          <w:rFonts w:ascii="宋体" w:hAnsi="宋体" w:cs="宋体"/>
          <w:color w:val="000000"/>
          <w:sz w:val="19"/>
          <w:lang w:eastAsia="zh-CN"/>
        </w:rPr>
        <w:t>55</w:t>
      </w:r>
      <w:r>
        <w:rPr>
          <w:rFonts w:ascii="宋体" w:hAnsi="宋体" w:cs="宋体"/>
          <w:color w:val="000000"/>
          <w:sz w:val="19"/>
          <w:lang w:eastAsia="zh-CN"/>
        </w:rPr>
        <w:t>岁；从事舞台艺术、经营管理、创意设计等专业的申报人，可适当放宽学历</w:t>
      </w:r>
    </w:p>
    <w:p w:rsidR="00E37845" w:rsidRDefault="00E22BDD">
      <w:pPr>
        <w:pStyle w:val="Normal1"/>
        <w:framePr w:w="11217" w:wrap="around" w:hAnchor="text" w:x="6072" w:y="2320"/>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和年龄要求。申报时一般应当未全职在国内工作，或者在国内时间不超过</w:t>
      </w:r>
      <w:r>
        <w:rPr>
          <w:rFonts w:ascii="宋体" w:hAnsi="宋体" w:cs="宋体"/>
          <w:color w:val="000000"/>
          <w:sz w:val="19"/>
          <w:lang w:eastAsia="zh-CN"/>
        </w:rPr>
        <w:t>1</w:t>
      </w:r>
      <w:r>
        <w:rPr>
          <w:rFonts w:ascii="宋体" w:hAnsi="宋体" w:cs="宋体"/>
          <w:color w:val="000000"/>
          <w:sz w:val="19"/>
          <w:lang w:eastAsia="zh-CN"/>
        </w:rPr>
        <w:t>年。申报长期项目的，引进后须全职在国内</w:t>
      </w:r>
    </w:p>
    <w:p w:rsidR="00E37845" w:rsidRDefault="00E22BDD">
      <w:pPr>
        <w:pStyle w:val="Normal1"/>
        <w:framePr w:w="11217" w:wrap="around" w:hAnchor="text" w:x="6072" w:y="2320"/>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工作</w:t>
      </w:r>
      <w:r>
        <w:rPr>
          <w:rFonts w:ascii="宋体" w:hAnsi="宋体" w:cs="宋体"/>
          <w:color w:val="000000"/>
          <w:sz w:val="19"/>
          <w:lang w:eastAsia="zh-CN"/>
        </w:rPr>
        <w:t>3</w:t>
      </w:r>
      <w:r>
        <w:rPr>
          <w:rFonts w:ascii="宋体" w:hAnsi="宋体" w:cs="宋体"/>
          <w:color w:val="000000"/>
          <w:sz w:val="19"/>
          <w:lang w:eastAsia="zh-CN"/>
        </w:rPr>
        <w:t>年以上；申报短期项目的，须在国内连续工作</w:t>
      </w:r>
      <w:r>
        <w:rPr>
          <w:rFonts w:ascii="宋体" w:hAnsi="宋体" w:cs="宋体"/>
          <w:color w:val="000000"/>
          <w:sz w:val="19"/>
          <w:lang w:eastAsia="zh-CN"/>
        </w:rPr>
        <w:t>3</w:t>
      </w:r>
      <w:r>
        <w:rPr>
          <w:rFonts w:ascii="宋体" w:hAnsi="宋体" w:cs="宋体"/>
          <w:color w:val="000000"/>
          <w:sz w:val="19"/>
          <w:lang w:eastAsia="zh-CN"/>
        </w:rPr>
        <w:t>年以上，每年不少于</w:t>
      </w:r>
      <w:r>
        <w:rPr>
          <w:rFonts w:ascii="宋体" w:hAnsi="宋体" w:cs="宋体"/>
          <w:color w:val="000000"/>
          <w:sz w:val="19"/>
          <w:lang w:eastAsia="zh-CN"/>
        </w:rPr>
        <w:t>2</w:t>
      </w:r>
      <w:r>
        <w:rPr>
          <w:rFonts w:ascii="宋体" w:hAnsi="宋体" w:cs="宋体"/>
          <w:color w:val="000000"/>
          <w:sz w:val="19"/>
          <w:lang w:eastAsia="zh-CN"/>
        </w:rPr>
        <w:t>个月。</w:t>
      </w:r>
    </w:p>
    <w:p w:rsidR="00E37845" w:rsidRDefault="00E22BDD">
      <w:pPr>
        <w:pStyle w:val="Normal1"/>
        <w:framePr w:w="1990" w:wrap="around" w:hAnchor="text" w:x="6072" w:y="3533"/>
        <w:widowControl w:val="0"/>
        <w:autoSpaceDE w:val="0"/>
        <w:autoSpaceDN w:val="0"/>
        <w:adjustRightInd w:val="0"/>
        <w:spacing w:before="0" w:after="0" w:line="189" w:lineRule="exact"/>
        <w:jc w:val="left"/>
        <w:rPr>
          <w:rFonts w:ascii="黑体" w:hAnsi="黑体" w:cs="黑体"/>
          <w:color w:val="000000"/>
          <w:sz w:val="19"/>
          <w:lang w:eastAsia="zh-CN"/>
        </w:rPr>
      </w:pPr>
      <w:r>
        <w:rPr>
          <w:rFonts w:ascii="黑体" w:hAnsi="黑体" w:cs="黑体"/>
          <w:color w:val="000000"/>
          <w:sz w:val="19"/>
          <w:lang w:eastAsia="zh-CN"/>
        </w:rPr>
        <w:t>①</w:t>
      </w:r>
      <w:r>
        <w:rPr>
          <w:rFonts w:ascii="黑体" w:hAnsi="黑体" w:cs="黑体"/>
          <w:color w:val="000000"/>
          <w:sz w:val="19"/>
          <w:lang w:eastAsia="zh-CN"/>
        </w:rPr>
        <w:t>长江学者特聘教授</w:t>
      </w:r>
    </w:p>
    <w:p w:rsidR="00E37845" w:rsidRDefault="00E22BDD">
      <w:pPr>
        <w:pStyle w:val="Normal1"/>
        <w:framePr w:w="11108" w:wrap="around" w:hAnchor="text" w:x="6072" w:y="3752"/>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A.</w:t>
      </w:r>
      <w:r>
        <w:rPr>
          <w:rFonts w:ascii="宋体" w:hAnsi="宋体" w:cs="宋体"/>
          <w:color w:val="000000"/>
          <w:sz w:val="19"/>
          <w:lang w:eastAsia="zh-CN"/>
        </w:rPr>
        <w:t>申报当年</w:t>
      </w:r>
      <w:r>
        <w:rPr>
          <w:rFonts w:ascii="宋体" w:hAnsi="宋体" w:cs="宋体"/>
          <w:color w:val="000000"/>
          <w:sz w:val="19"/>
          <w:lang w:eastAsia="zh-CN"/>
        </w:rPr>
        <w:t>1</w:t>
      </w:r>
      <w:r>
        <w:rPr>
          <w:rFonts w:ascii="宋体" w:hAnsi="宋体" w:cs="宋体"/>
          <w:color w:val="000000"/>
          <w:sz w:val="19"/>
          <w:lang w:eastAsia="zh-CN"/>
        </w:rPr>
        <w:t>月</w:t>
      </w:r>
      <w:r>
        <w:rPr>
          <w:rFonts w:ascii="宋体" w:hAnsi="宋体" w:cs="宋体"/>
          <w:color w:val="000000"/>
          <w:sz w:val="19"/>
          <w:lang w:eastAsia="zh-CN"/>
        </w:rPr>
        <w:t>1</w:t>
      </w:r>
      <w:r>
        <w:rPr>
          <w:rFonts w:ascii="宋体" w:hAnsi="宋体" w:cs="宋体"/>
          <w:color w:val="000000"/>
          <w:sz w:val="19"/>
          <w:lang w:eastAsia="zh-CN"/>
        </w:rPr>
        <w:t>日，自然科学类、工程技术类人选年龄不超过</w:t>
      </w:r>
      <w:r>
        <w:rPr>
          <w:rFonts w:ascii="宋体" w:hAnsi="宋体" w:cs="宋体"/>
          <w:color w:val="000000"/>
          <w:sz w:val="19"/>
          <w:lang w:eastAsia="zh-CN"/>
        </w:rPr>
        <w:t>45</w:t>
      </w:r>
      <w:r>
        <w:rPr>
          <w:rFonts w:ascii="宋体" w:hAnsi="宋体" w:cs="宋体"/>
          <w:color w:val="000000"/>
          <w:sz w:val="19"/>
          <w:lang w:eastAsia="zh-CN"/>
        </w:rPr>
        <w:t>周岁，人文社会科学类人选年龄不超过</w:t>
      </w:r>
      <w:r>
        <w:rPr>
          <w:rFonts w:ascii="宋体" w:hAnsi="宋体" w:cs="宋体"/>
          <w:color w:val="000000"/>
          <w:sz w:val="19"/>
          <w:lang w:eastAsia="zh-CN"/>
        </w:rPr>
        <w:t>55</w:t>
      </w:r>
      <w:r>
        <w:rPr>
          <w:rFonts w:ascii="宋体" w:hAnsi="宋体" w:cs="宋体"/>
          <w:color w:val="000000"/>
          <w:sz w:val="19"/>
          <w:lang w:eastAsia="zh-CN"/>
        </w:rPr>
        <w:t>周岁。</w:t>
      </w:r>
    </w:p>
    <w:p w:rsidR="00E37845" w:rsidRDefault="00E22BDD">
      <w:pPr>
        <w:pStyle w:val="Normal1"/>
        <w:framePr w:w="11108" w:wrap="around" w:hAnchor="text" w:x="6072" w:y="3752"/>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B.</w:t>
      </w:r>
      <w:r>
        <w:rPr>
          <w:rFonts w:ascii="宋体" w:hAnsi="宋体" w:cs="宋体"/>
          <w:color w:val="000000"/>
          <w:sz w:val="19"/>
          <w:lang w:eastAsia="zh-CN"/>
        </w:rPr>
        <w:t>一般具有博士学位，在教学科研一线工作；海外应聘者一般应担任高水平大学副教授及以上职位或其他相应职位，</w:t>
      </w:r>
    </w:p>
    <w:p w:rsidR="00E37845" w:rsidRDefault="00E22BDD">
      <w:pPr>
        <w:pStyle w:val="Normal1"/>
        <w:framePr w:w="11108" w:wrap="around" w:hAnchor="text" w:x="6072" w:y="3752"/>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国内应聘者应担任教授或其他相应职位。</w:t>
      </w:r>
    </w:p>
    <w:p w:rsidR="00E37845" w:rsidRDefault="00E22BDD">
      <w:pPr>
        <w:pStyle w:val="Normal1"/>
        <w:framePr w:w="11108" w:wrap="around" w:hAnchor="text" w:x="6072" w:y="3752"/>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C.</w:t>
      </w:r>
      <w:r>
        <w:rPr>
          <w:rFonts w:ascii="宋体" w:hAnsi="宋体" w:cs="宋体"/>
          <w:color w:val="000000"/>
          <w:sz w:val="19"/>
          <w:lang w:eastAsia="zh-CN"/>
        </w:rPr>
        <w:t>胜任核心课程讲授任务；学术造诣高深，在科学研究方面取得国内外同行公认的重要成就；具有创新性、战略性思</w:t>
      </w:r>
    </w:p>
    <w:p w:rsidR="00E37845" w:rsidRDefault="00E22BDD">
      <w:pPr>
        <w:pStyle w:val="Normal1"/>
        <w:framePr w:w="11108" w:wrap="around" w:hAnchor="text" w:x="6072" w:y="3752"/>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维，具有带领本学科赶超或保持国际先进水平的能力；具有较强的领导和协调能力，能带领学术团队协同攻关。</w:t>
      </w:r>
    </w:p>
    <w:p w:rsidR="00E37845" w:rsidRDefault="00E22BDD">
      <w:pPr>
        <w:pStyle w:val="Normal1"/>
        <w:framePr w:w="11108" w:wrap="around" w:hAnchor="text" w:x="6072" w:y="3752"/>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D.</w:t>
      </w:r>
      <w:r>
        <w:rPr>
          <w:rFonts w:ascii="宋体" w:hAnsi="宋体" w:cs="宋体"/>
          <w:color w:val="000000"/>
          <w:sz w:val="19"/>
          <w:lang w:eastAsia="zh-CN"/>
        </w:rPr>
        <w:t>恪守高等学校教师职业道德规范，具有拼搏奉献精神。</w:t>
      </w:r>
    </w:p>
    <w:p w:rsidR="00E37845" w:rsidRDefault="00E22BDD">
      <w:pPr>
        <w:pStyle w:val="Normal1"/>
        <w:framePr w:w="1611" w:wrap="around" w:hAnchor="text" w:x="2014" w:y="5080"/>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长江学者奖励计</w:t>
      </w:r>
    </w:p>
    <w:p w:rsidR="00E37845" w:rsidRDefault="00E22BDD">
      <w:pPr>
        <w:pStyle w:val="Normal1"/>
        <w:framePr w:w="1611" w:wrap="around" w:hAnchor="text" w:x="2014" w:y="5080"/>
        <w:widowControl w:val="0"/>
        <w:autoSpaceDE w:val="0"/>
        <w:autoSpaceDN w:val="0"/>
        <w:adjustRightInd w:val="0"/>
        <w:spacing w:before="0" w:after="0" w:line="218" w:lineRule="exact"/>
        <w:ind w:left="568"/>
        <w:jc w:val="left"/>
        <w:rPr>
          <w:rFonts w:ascii="宋体" w:hAnsi="宋体" w:cs="宋体"/>
          <w:color w:val="000000"/>
          <w:sz w:val="19"/>
          <w:lang w:eastAsia="zh-CN"/>
        </w:rPr>
      </w:pPr>
      <w:r>
        <w:rPr>
          <w:rFonts w:ascii="宋体" w:hAnsi="宋体" w:cs="宋体"/>
          <w:color w:val="000000"/>
          <w:sz w:val="19"/>
          <w:lang w:eastAsia="zh-CN"/>
        </w:rPr>
        <w:t>划</w:t>
      </w:r>
    </w:p>
    <w:p w:rsidR="00E37845" w:rsidRDefault="00E22BDD">
      <w:pPr>
        <w:pStyle w:val="Normal1"/>
        <w:framePr w:w="1611" w:wrap="around" w:hAnchor="text" w:x="2014" w:y="5080"/>
        <w:widowControl w:val="0"/>
        <w:autoSpaceDE w:val="0"/>
        <w:autoSpaceDN w:val="0"/>
        <w:adjustRightInd w:val="0"/>
        <w:spacing w:before="0" w:after="0" w:line="218" w:lineRule="exact"/>
        <w:ind w:left="331"/>
        <w:jc w:val="left"/>
        <w:rPr>
          <w:rFonts w:ascii="宋体" w:hAnsi="宋体" w:cs="宋体"/>
          <w:color w:val="000000"/>
          <w:sz w:val="19"/>
          <w:lang w:eastAsia="zh-CN"/>
        </w:rPr>
      </w:pPr>
      <w:r>
        <w:rPr>
          <w:rFonts w:ascii="宋体" w:hAnsi="宋体" w:cs="宋体"/>
          <w:color w:val="000000"/>
          <w:sz w:val="19"/>
          <w:lang w:eastAsia="zh-CN"/>
        </w:rPr>
        <w:t>（</w:t>
      </w:r>
      <w:r>
        <w:rPr>
          <w:rFonts w:ascii="宋体" w:hAnsi="宋体" w:cs="宋体"/>
          <w:color w:val="000000"/>
          <w:sz w:val="19"/>
          <w:lang w:eastAsia="zh-CN"/>
        </w:rPr>
        <w:t>6</w:t>
      </w:r>
      <w:r>
        <w:rPr>
          <w:rFonts w:ascii="宋体" w:hAnsi="宋体" w:cs="宋体"/>
          <w:color w:val="000000"/>
          <w:sz w:val="19"/>
          <w:lang w:eastAsia="zh-CN"/>
        </w:rPr>
        <w:t>月）</w:t>
      </w:r>
    </w:p>
    <w:p w:rsidR="00E37845" w:rsidRDefault="00E22BDD">
      <w:pPr>
        <w:pStyle w:val="Normal1"/>
        <w:framePr w:w="7188" w:wrap="around" w:hAnchor="text" w:x="6072" w:y="5063"/>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E.</w:t>
      </w:r>
      <w:r>
        <w:rPr>
          <w:rFonts w:ascii="宋体" w:hAnsi="宋体" w:cs="宋体"/>
          <w:color w:val="000000"/>
          <w:sz w:val="19"/>
          <w:lang w:eastAsia="zh-CN"/>
        </w:rPr>
        <w:t>聘期内全职在受聘高校工作。应在签订聘任合同后一年内全职到岗工作。</w:t>
      </w:r>
    </w:p>
    <w:p w:rsidR="00E37845" w:rsidRDefault="00E22BDD">
      <w:pPr>
        <w:pStyle w:val="Normal1"/>
        <w:framePr w:w="380" w:wrap="around" w:hAnchor="text" w:x="1564" w:y="5298"/>
        <w:widowControl w:val="0"/>
        <w:autoSpaceDE w:val="0"/>
        <w:autoSpaceDN w:val="0"/>
        <w:adjustRightInd w:val="0"/>
        <w:spacing w:before="0" w:after="0" w:line="189" w:lineRule="exact"/>
        <w:jc w:val="left"/>
        <w:rPr>
          <w:rFonts w:ascii="宋体"/>
          <w:color w:val="000000"/>
          <w:sz w:val="19"/>
          <w:lang w:eastAsia="zh-CN"/>
        </w:rPr>
      </w:pPr>
      <w:r>
        <w:rPr>
          <w:rFonts w:ascii="宋体"/>
          <w:color w:val="000000"/>
          <w:sz w:val="19"/>
          <w:lang w:eastAsia="zh-CN"/>
        </w:rPr>
        <w:t>5</w:t>
      </w:r>
    </w:p>
    <w:p w:rsidR="00E37845" w:rsidRDefault="00E22BDD">
      <w:pPr>
        <w:pStyle w:val="Normal1"/>
        <w:framePr w:w="853" w:wrap="around" w:hAnchor="text" w:x="4445" w:y="5298"/>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教育部</w:t>
      </w:r>
    </w:p>
    <w:p w:rsidR="00E37845" w:rsidRDefault="00E22BDD">
      <w:pPr>
        <w:pStyle w:val="Normal1"/>
        <w:framePr w:w="1990" w:wrap="around" w:hAnchor="text" w:x="6072" w:y="5570"/>
        <w:widowControl w:val="0"/>
        <w:autoSpaceDE w:val="0"/>
        <w:autoSpaceDN w:val="0"/>
        <w:adjustRightInd w:val="0"/>
        <w:spacing w:before="0" w:after="0" w:line="189" w:lineRule="exact"/>
        <w:jc w:val="left"/>
        <w:rPr>
          <w:rFonts w:ascii="黑体" w:hAnsi="黑体" w:cs="黑体"/>
          <w:color w:val="000000"/>
          <w:sz w:val="19"/>
          <w:lang w:eastAsia="zh-CN"/>
        </w:rPr>
      </w:pPr>
      <w:r>
        <w:rPr>
          <w:rFonts w:ascii="黑体" w:hAnsi="黑体" w:cs="黑体"/>
          <w:color w:val="000000"/>
          <w:sz w:val="19"/>
          <w:lang w:eastAsia="zh-CN"/>
        </w:rPr>
        <w:t>②</w:t>
      </w:r>
      <w:r>
        <w:rPr>
          <w:rFonts w:ascii="黑体" w:hAnsi="黑体" w:cs="黑体"/>
          <w:color w:val="000000"/>
          <w:sz w:val="19"/>
          <w:lang w:eastAsia="zh-CN"/>
        </w:rPr>
        <w:t>长江学者讲座教授</w:t>
      </w:r>
    </w:p>
    <w:p w:rsidR="00E37845" w:rsidRDefault="00E22BDD">
      <w:pPr>
        <w:pStyle w:val="Normal1"/>
        <w:framePr w:w="7623" w:wrap="around" w:hAnchor="text" w:x="6072" w:y="5789"/>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A.</w:t>
      </w:r>
      <w:r>
        <w:rPr>
          <w:rFonts w:ascii="宋体" w:hAnsi="宋体" w:cs="宋体"/>
          <w:color w:val="000000"/>
          <w:sz w:val="19"/>
          <w:lang w:eastAsia="zh-CN"/>
        </w:rPr>
        <w:t>在海外教学科研一线工作，一般应担任高水平大学教授职位或其他相应职位。</w:t>
      </w:r>
    </w:p>
    <w:p w:rsidR="00E37845" w:rsidRDefault="00E22BDD">
      <w:pPr>
        <w:pStyle w:val="Normal1"/>
        <w:framePr w:w="7623" w:wrap="around" w:hAnchor="text" w:x="6072" w:y="5789"/>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B.</w:t>
      </w:r>
      <w:r>
        <w:rPr>
          <w:rFonts w:ascii="宋体" w:hAnsi="宋体" w:cs="宋体"/>
          <w:color w:val="000000"/>
          <w:sz w:val="19"/>
          <w:lang w:eastAsia="zh-CN"/>
        </w:rPr>
        <w:t>学术造诣高深，在本学科领域具有重大影响，取得国际公认的重大成就。</w:t>
      </w:r>
    </w:p>
    <w:p w:rsidR="00E37845" w:rsidRDefault="00E22BDD">
      <w:pPr>
        <w:pStyle w:val="Normal1"/>
        <w:framePr w:w="7623" w:wrap="around" w:hAnchor="text" w:x="6072" w:y="5789"/>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C.</w:t>
      </w:r>
      <w:r>
        <w:rPr>
          <w:rFonts w:ascii="宋体" w:hAnsi="宋体" w:cs="宋体"/>
          <w:color w:val="000000"/>
          <w:sz w:val="19"/>
          <w:lang w:eastAsia="zh-CN"/>
        </w:rPr>
        <w:t>诚实守信、学风严谨、乐于奉献、崇尚科学精神。</w:t>
      </w:r>
    </w:p>
    <w:p w:rsidR="00E37845" w:rsidRDefault="00E22BDD">
      <w:pPr>
        <w:pStyle w:val="Normal1"/>
        <w:framePr w:w="7623" w:wrap="around" w:hAnchor="text" w:x="6072" w:y="5789"/>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D.</w:t>
      </w:r>
      <w:r>
        <w:rPr>
          <w:rFonts w:ascii="宋体" w:hAnsi="宋体" w:cs="宋体"/>
          <w:color w:val="000000"/>
          <w:sz w:val="19"/>
          <w:lang w:eastAsia="zh-CN"/>
        </w:rPr>
        <w:t>每年在国内受聘高校工作</w:t>
      </w:r>
      <w:r>
        <w:rPr>
          <w:rFonts w:ascii="宋体" w:hAnsi="宋体" w:cs="宋体"/>
          <w:color w:val="000000"/>
          <w:sz w:val="19"/>
          <w:lang w:eastAsia="zh-CN"/>
        </w:rPr>
        <w:t>2</w:t>
      </w:r>
      <w:r>
        <w:rPr>
          <w:rFonts w:ascii="宋体" w:hAnsi="宋体" w:cs="宋体"/>
          <w:color w:val="000000"/>
          <w:sz w:val="19"/>
          <w:lang w:eastAsia="zh-CN"/>
        </w:rPr>
        <w:t>个月以上。</w:t>
      </w:r>
    </w:p>
    <w:p w:rsidR="00E37845" w:rsidRDefault="00E22BDD">
      <w:pPr>
        <w:pStyle w:val="Normal1"/>
        <w:framePr w:w="9366" w:wrap="around" w:hAnchor="text" w:x="6072" w:y="6789"/>
        <w:widowControl w:val="0"/>
        <w:autoSpaceDE w:val="0"/>
        <w:autoSpaceDN w:val="0"/>
        <w:adjustRightInd w:val="0"/>
        <w:spacing w:before="0" w:after="0" w:line="189" w:lineRule="exact"/>
        <w:jc w:val="left"/>
        <w:rPr>
          <w:rFonts w:ascii="黑体" w:hAnsi="黑体" w:cs="黑体"/>
          <w:color w:val="000000"/>
          <w:sz w:val="19"/>
          <w:lang w:eastAsia="zh-CN"/>
        </w:rPr>
      </w:pPr>
      <w:r>
        <w:rPr>
          <w:rFonts w:ascii="黑体" w:hAnsi="黑体" w:cs="黑体"/>
          <w:color w:val="000000"/>
          <w:sz w:val="19"/>
          <w:lang w:eastAsia="zh-CN"/>
        </w:rPr>
        <w:t>③</w:t>
      </w:r>
      <w:r>
        <w:rPr>
          <w:rFonts w:ascii="黑体" w:hAnsi="黑体" w:cs="黑体"/>
          <w:color w:val="000000"/>
          <w:sz w:val="19"/>
          <w:lang w:eastAsia="zh-CN"/>
        </w:rPr>
        <w:t>长江学者青年学者项目</w:t>
      </w:r>
    </w:p>
    <w:p w:rsidR="00E37845" w:rsidRDefault="00E22BDD">
      <w:pPr>
        <w:pStyle w:val="Normal1"/>
        <w:framePr w:w="9366" w:wrap="around" w:hAnchor="text" w:x="6072" w:y="6789"/>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A.</w:t>
      </w:r>
      <w:r>
        <w:rPr>
          <w:rFonts w:ascii="宋体" w:hAnsi="宋体" w:cs="宋体"/>
          <w:color w:val="000000"/>
          <w:sz w:val="19"/>
          <w:lang w:eastAsia="zh-CN"/>
        </w:rPr>
        <w:t>自然科学、工程技术领域人选年龄不超过</w:t>
      </w:r>
      <w:r>
        <w:rPr>
          <w:rFonts w:ascii="宋体" w:hAnsi="宋体" w:cs="宋体"/>
          <w:color w:val="000000"/>
          <w:sz w:val="19"/>
          <w:lang w:eastAsia="zh-CN"/>
        </w:rPr>
        <w:t>38</w:t>
      </w:r>
      <w:r>
        <w:rPr>
          <w:rFonts w:ascii="宋体" w:hAnsi="宋体" w:cs="宋体"/>
          <w:color w:val="000000"/>
          <w:sz w:val="19"/>
          <w:lang w:eastAsia="zh-CN"/>
        </w:rPr>
        <w:t>周岁，人文社会科学领域人选年龄不超过</w:t>
      </w:r>
      <w:r>
        <w:rPr>
          <w:rFonts w:ascii="宋体" w:hAnsi="宋体" w:cs="宋体"/>
          <w:color w:val="000000"/>
          <w:sz w:val="19"/>
          <w:lang w:eastAsia="zh-CN"/>
        </w:rPr>
        <w:t>45</w:t>
      </w:r>
      <w:r>
        <w:rPr>
          <w:rFonts w:ascii="宋体" w:hAnsi="宋体" w:cs="宋体"/>
          <w:color w:val="000000"/>
          <w:sz w:val="19"/>
          <w:lang w:eastAsia="zh-CN"/>
        </w:rPr>
        <w:t>周岁。</w:t>
      </w:r>
    </w:p>
    <w:p w:rsidR="00E37845" w:rsidRDefault="00E22BDD">
      <w:pPr>
        <w:pStyle w:val="Normal1"/>
        <w:framePr w:w="9366" w:wrap="around" w:hAnchor="text" w:x="6072" w:y="6789"/>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B.</w:t>
      </w:r>
      <w:r>
        <w:rPr>
          <w:rFonts w:ascii="宋体" w:hAnsi="宋体" w:cs="宋体"/>
          <w:color w:val="000000"/>
          <w:sz w:val="19"/>
          <w:lang w:eastAsia="zh-CN"/>
        </w:rPr>
        <w:t>一般具有博士学位，在教学科研一线工作；国内应聘者一般应担任副高级及以上专业技术职务。</w:t>
      </w:r>
    </w:p>
    <w:p w:rsidR="00E37845" w:rsidRDefault="00E22BDD">
      <w:pPr>
        <w:pStyle w:val="Normal1"/>
        <w:framePr w:w="11108" w:wrap="around" w:hAnchor="text" w:x="6072" w:y="7622"/>
        <w:widowControl w:val="0"/>
        <w:autoSpaceDE w:val="0"/>
        <w:autoSpaceDN w:val="0"/>
        <w:adjustRightInd w:val="0"/>
        <w:spacing w:before="0" w:after="0" w:line="189" w:lineRule="exact"/>
        <w:jc w:val="left"/>
        <w:rPr>
          <w:rFonts w:ascii="宋体" w:hAnsi="宋体" w:cs="宋体"/>
          <w:color w:val="000000"/>
          <w:sz w:val="19"/>
          <w:lang w:eastAsia="zh-CN"/>
        </w:rPr>
      </w:pPr>
      <w:r>
        <w:rPr>
          <w:rFonts w:ascii="黑体" w:hAnsi="黑体" w:cs="黑体"/>
          <w:color w:val="000000"/>
          <w:sz w:val="19"/>
          <w:lang w:eastAsia="zh-CN"/>
        </w:rPr>
        <w:t>①</w:t>
      </w:r>
      <w:r>
        <w:rPr>
          <w:rFonts w:ascii="黑体" w:hAnsi="黑体" w:cs="黑体"/>
          <w:color w:val="000000"/>
          <w:sz w:val="19"/>
          <w:lang w:eastAsia="zh-CN"/>
        </w:rPr>
        <w:t>珠江学者特聘教授：</w:t>
      </w:r>
      <w:r>
        <w:rPr>
          <w:rFonts w:ascii="宋体" w:hAnsi="宋体" w:cs="宋体"/>
          <w:color w:val="000000"/>
          <w:sz w:val="19"/>
          <w:lang w:eastAsia="zh-CN"/>
        </w:rPr>
        <w:t>自然科学类、工程技术类人选年龄不超过</w:t>
      </w:r>
      <w:r>
        <w:rPr>
          <w:rFonts w:ascii="宋体" w:hAnsi="宋体" w:cs="宋体"/>
          <w:color w:val="000000"/>
          <w:sz w:val="19"/>
          <w:lang w:eastAsia="zh-CN"/>
        </w:rPr>
        <w:t>45</w:t>
      </w:r>
      <w:r>
        <w:rPr>
          <w:rFonts w:ascii="宋体" w:hAnsi="宋体" w:cs="宋体"/>
          <w:color w:val="000000"/>
          <w:sz w:val="19"/>
          <w:lang w:eastAsia="zh-CN"/>
        </w:rPr>
        <w:t>周岁，人文社会科学、中医学类人选年龄不超过</w:t>
      </w:r>
      <w:r>
        <w:rPr>
          <w:rFonts w:ascii="宋体" w:hAnsi="宋体" w:cs="宋体"/>
          <w:color w:val="000000"/>
          <w:sz w:val="19"/>
          <w:lang w:eastAsia="zh-CN"/>
        </w:rPr>
        <w:t>50</w:t>
      </w:r>
    </w:p>
    <w:p w:rsidR="00E37845" w:rsidRDefault="00E22BDD">
      <w:pPr>
        <w:pStyle w:val="Normal1"/>
        <w:framePr w:w="11108" w:wrap="around" w:hAnchor="text" w:x="6072" w:y="7622"/>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周岁；具有博士学位授予权高校的推荐人选须具备博士生导师资格后完整培养完一届博士生，近三年从国（境）外引</w:t>
      </w:r>
    </w:p>
    <w:p w:rsidR="00E37845" w:rsidRDefault="00E22BDD">
      <w:pPr>
        <w:pStyle w:val="Normal1"/>
        <w:framePr w:w="11108" w:wrap="around" w:hAnchor="text" w:x="6072" w:y="7622"/>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进人才不受此条件限制。特聘教授人选应能够集聚国内外高层次人才、打造高端学术团队，积极承担培养青年教师任</w:t>
      </w:r>
    </w:p>
    <w:p w:rsidR="00E37845" w:rsidRDefault="00E22BDD">
      <w:pPr>
        <w:pStyle w:val="Normal1"/>
        <w:framePr w:w="11108" w:wrap="around" w:hAnchor="text" w:x="6072" w:y="7622"/>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务（聘期内至少培养</w:t>
      </w:r>
      <w:r>
        <w:rPr>
          <w:rFonts w:ascii="宋体" w:hAnsi="宋体" w:cs="宋体"/>
          <w:color w:val="000000"/>
          <w:sz w:val="19"/>
          <w:lang w:eastAsia="zh-CN"/>
        </w:rPr>
        <w:t>2</w:t>
      </w:r>
      <w:r>
        <w:rPr>
          <w:rFonts w:ascii="宋体" w:hAnsi="宋体" w:cs="宋体"/>
          <w:color w:val="000000"/>
          <w:sz w:val="19"/>
          <w:lang w:eastAsia="zh-CN"/>
        </w:rPr>
        <w:t>名高校青年教师，其中省内其他高校不少于</w:t>
      </w:r>
      <w:r>
        <w:rPr>
          <w:rFonts w:ascii="宋体" w:hAnsi="宋体" w:cs="宋体"/>
          <w:color w:val="000000"/>
          <w:sz w:val="19"/>
          <w:lang w:eastAsia="zh-CN"/>
        </w:rPr>
        <w:t>1</w:t>
      </w:r>
      <w:r>
        <w:rPr>
          <w:rFonts w:ascii="宋体" w:hAnsi="宋体" w:cs="宋体"/>
          <w:color w:val="000000"/>
          <w:sz w:val="19"/>
          <w:lang w:eastAsia="zh-CN"/>
        </w:rPr>
        <w:t>名）</w:t>
      </w:r>
    </w:p>
    <w:p w:rsidR="00E37845" w:rsidRDefault="00E22BDD">
      <w:pPr>
        <w:pStyle w:val="Normal1"/>
        <w:framePr w:w="1611" w:wrap="around" w:hAnchor="text" w:x="2014" w:y="8219"/>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广东省珠江学者</w:t>
      </w:r>
    </w:p>
    <w:p w:rsidR="00E37845" w:rsidRDefault="00E22BDD">
      <w:pPr>
        <w:pStyle w:val="Normal1"/>
        <w:framePr w:w="1611" w:wrap="around" w:hAnchor="text" w:x="2014" w:y="8219"/>
        <w:widowControl w:val="0"/>
        <w:autoSpaceDE w:val="0"/>
        <w:autoSpaceDN w:val="0"/>
        <w:adjustRightInd w:val="0"/>
        <w:spacing w:before="0" w:after="0" w:line="218" w:lineRule="exact"/>
        <w:ind w:left="284"/>
        <w:jc w:val="left"/>
        <w:rPr>
          <w:rFonts w:ascii="宋体" w:hAnsi="宋体" w:cs="宋体"/>
          <w:color w:val="000000"/>
          <w:sz w:val="19"/>
          <w:lang w:eastAsia="zh-CN"/>
        </w:rPr>
      </w:pPr>
      <w:r>
        <w:rPr>
          <w:rFonts w:ascii="宋体" w:hAnsi="宋体" w:cs="宋体"/>
          <w:color w:val="000000"/>
          <w:sz w:val="19"/>
          <w:lang w:eastAsia="zh-CN"/>
        </w:rPr>
        <w:t>岗位计划</w:t>
      </w:r>
    </w:p>
    <w:p w:rsidR="00E37845" w:rsidRDefault="00E22BDD">
      <w:pPr>
        <w:pStyle w:val="Normal1"/>
        <w:framePr w:w="1611" w:wrap="around" w:hAnchor="text" w:x="2014" w:y="8219"/>
        <w:widowControl w:val="0"/>
        <w:autoSpaceDE w:val="0"/>
        <w:autoSpaceDN w:val="0"/>
        <w:adjustRightInd w:val="0"/>
        <w:spacing w:before="0" w:after="0" w:line="218" w:lineRule="exact"/>
        <w:ind w:left="379"/>
        <w:jc w:val="left"/>
        <w:rPr>
          <w:rFonts w:ascii="宋体" w:hAnsi="宋体" w:cs="宋体"/>
          <w:color w:val="000000"/>
          <w:sz w:val="19"/>
          <w:lang w:eastAsia="zh-CN"/>
        </w:rPr>
      </w:pPr>
      <w:r>
        <w:rPr>
          <w:rFonts w:ascii="宋体" w:hAnsi="宋体" w:cs="宋体"/>
          <w:color w:val="000000"/>
          <w:sz w:val="19"/>
          <w:lang w:eastAsia="zh-CN"/>
        </w:rPr>
        <w:t>(4</w:t>
      </w:r>
      <w:r>
        <w:rPr>
          <w:rFonts w:ascii="宋体" w:hAnsi="宋体" w:cs="宋体"/>
          <w:color w:val="000000"/>
          <w:sz w:val="19"/>
          <w:lang w:eastAsia="zh-CN"/>
        </w:rPr>
        <w:t>月）</w:t>
      </w:r>
    </w:p>
    <w:p w:rsidR="00E37845" w:rsidRDefault="00E22BDD">
      <w:pPr>
        <w:pStyle w:val="Normal1"/>
        <w:framePr w:w="1043" w:wrap="around" w:hAnchor="text" w:x="4350" w:y="8219"/>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省教育厅</w:t>
      </w:r>
    </w:p>
    <w:p w:rsidR="00E37845" w:rsidRDefault="00E22BDD">
      <w:pPr>
        <w:pStyle w:val="Normal1"/>
        <w:framePr w:w="11108" w:wrap="around" w:hAnchor="text" w:x="6072" w:y="8585"/>
        <w:widowControl w:val="0"/>
        <w:autoSpaceDE w:val="0"/>
        <w:autoSpaceDN w:val="0"/>
        <w:adjustRightInd w:val="0"/>
        <w:spacing w:before="0" w:after="0" w:line="189" w:lineRule="exact"/>
        <w:jc w:val="left"/>
        <w:rPr>
          <w:rFonts w:ascii="宋体" w:hAnsi="宋体" w:cs="宋体"/>
          <w:color w:val="000000"/>
          <w:sz w:val="19"/>
          <w:lang w:eastAsia="zh-CN"/>
        </w:rPr>
      </w:pPr>
      <w:r>
        <w:rPr>
          <w:rFonts w:ascii="黑体" w:hAnsi="黑体" w:cs="黑体"/>
          <w:color w:val="000000"/>
          <w:sz w:val="19"/>
          <w:lang w:eastAsia="zh-CN"/>
        </w:rPr>
        <w:t>②</w:t>
      </w:r>
      <w:r>
        <w:rPr>
          <w:rFonts w:ascii="黑体" w:hAnsi="黑体" w:cs="黑体"/>
          <w:color w:val="000000"/>
          <w:sz w:val="19"/>
          <w:lang w:eastAsia="zh-CN"/>
        </w:rPr>
        <w:t>珠江学者讲座教授：</w:t>
      </w:r>
      <w:r>
        <w:rPr>
          <w:rFonts w:ascii="宋体" w:hAnsi="宋体" w:cs="宋体"/>
          <w:color w:val="000000"/>
          <w:sz w:val="19"/>
          <w:lang w:eastAsia="zh-CN"/>
        </w:rPr>
        <w:t>在教学科研（研发）第一线工作，境外应聘者一般应担任高水平院校副（助理）教授以上职位</w:t>
      </w:r>
    </w:p>
    <w:p w:rsidR="00E37845" w:rsidRDefault="00E22BDD">
      <w:pPr>
        <w:pStyle w:val="Normal1"/>
        <w:framePr w:w="11108" w:wrap="around" w:hAnchor="text" w:x="6072" w:y="8585"/>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，或担任知名研究机构、知名企业的相应职位；国内应聘者应在国内知名高校、知名研究机构或知名企业工作，具有</w:t>
      </w:r>
    </w:p>
    <w:p w:rsidR="00E37845" w:rsidRDefault="00E22BDD">
      <w:pPr>
        <w:pStyle w:val="Normal1"/>
        <w:framePr w:w="11108" w:wrap="around" w:hAnchor="text" w:x="6072" w:y="8585"/>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正高级职称。</w:t>
      </w:r>
    </w:p>
    <w:p w:rsidR="00E37845" w:rsidRDefault="00E22BDD">
      <w:pPr>
        <w:pStyle w:val="Normal1"/>
        <w:framePr w:w="380" w:wrap="around" w:hAnchor="text" w:x="1564" w:y="9105"/>
        <w:widowControl w:val="0"/>
        <w:autoSpaceDE w:val="0"/>
        <w:autoSpaceDN w:val="0"/>
        <w:adjustRightInd w:val="0"/>
        <w:spacing w:before="0" w:after="0" w:line="189" w:lineRule="exact"/>
        <w:jc w:val="left"/>
        <w:rPr>
          <w:rFonts w:ascii="宋体"/>
          <w:color w:val="000000"/>
          <w:sz w:val="19"/>
          <w:lang w:eastAsia="zh-CN"/>
        </w:rPr>
      </w:pPr>
      <w:r>
        <w:rPr>
          <w:rFonts w:ascii="宋体"/>
          <w:color w:val="000000"/>
          <w:sz w:val="19"/>
          <w:lang w:eastAsia="zh-CN"/>
        </w:rPr>
        <w:t>6</w:t>
      </w:r>
    </w:p>
    <w:p w:rsidR="00E37845" w:rsidRDefault="00E22BDD">
      <w:pPr>
        <w:pStyle w:val="Normal1"/>
        <w:framePr w:w="11108" w:wrap="around" w:hAnchor="text" w:x="6072" w:y="9413"/>
        <w:widowControl w:val="0"/>
        <w:autoSpaceDE w:val="0"/>
        <w:autoSpaceDN w:val="0"/>
        <w:adjustRightInd w:val="0"/>
        <w:spacing w:before="0" w:after="0" w:line="189" w:lineRule="exact"/>
        <w:jc w:val="left"/>
        <w:rPr>
          <w:rFonts w:ascii="宋体" w:hAnsi="宋体" w:cs="宋体"/>
          <w:color w:val="000000"/>
          <w:sz w:val="19"/>
          <w:lang w:eastAsia="zh-CN"/>
        </w:rPr>
      </w:pPr>
      <w:r>
        <w:rPr>
          <w:rFonts w:ascii="黑体" w:hAnsi="黑体" w:cs="黑体"/>
          <w:color w:val="000000"/>
          <w:sz w:val="19"/>
          <w:lang w:eastAsia="zh-CN"/>
        </w:rPr>
        <w:t>③</w:t>
      </w:r>
      <w:r>
        <w:rPr>
          <w:rFonts w:ascii="黑体" w:hAnsi="黑体" w:cs="黑体"/>
          <w:color w:val="000000"/>
          <w:sz w:val="19"/>
          <w:lang w:eastAsia="zh-CN"/>
        </w:rPr>
        <w:t>珠江学者青年学者：</w:t>
      </w:r>
      <w:r>
        <w:rPr>
          <w:rFonts w:ascii="宋体" w:hAnsi="宋体" w:cs="宋体"/>
          <w:color w:val="000000"/>
          <w:sz w:val="19"/>
          <w:lang w:eastAsia="zh-CN"/>
        </w:rPr>
        <w:t>自然科学类、工程技术类人选年龄不超过</w:t>
      </w:r>
      <w:r>
        <w:rPr>
          <w:rFonts w:ascii="宋体" w:hAnsi="宋体" w:cs="宋体"/>
          <w:color w:val="000000"/>
          <w:sz w:val="19"/>
          <w:lang w:eastAsia="zh-CN"/>
        </w:rPr>
        <w:t>35</w:t>
      </w:r>
      <w:r>
        <w:rPr>
          <w:rFonts w:ascii="宋体" w:hAnsi="宋体" w:cs="宋体"/>
          <w:color w:val="000000"/>
          <w:sz w:val="19"/>
          <w:lang w:eastAsia="zh-CN"/>
        </w:rPr>
        <w:t>周岁，人文社会科学、中医学类等学科人选年龄不</w:t>
      </w:r>
    </w:p>
    <w:p w:rsidR="00E37845" w:rsidRDefault="00E22BDD">
      <w:pPr>
        <w:pStyle w:val="Normal1"/>
        <w:framePr w:w="11108" w:wrap="around" w:hAnchor="text" w:x="6072" w:y="9413"/>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超过</w:t>
      </w:r>
      <w:r>
        <w:rPr>
          <w:rFonts w:ascii="宋体" w:hAnsi="宋体" w:cs="宋体"/>
          <w:color w:val="000000"/>
          <w:sz w:val="19"/>
          <w:lang w:eastAsia="zh-CN"/>
        </w:rPr>
        <w:t>38</w:t>
      </w:r>
      <w:r>
        <w:rPr>
          <w:rFonts w:ascii="宋体" w:hAnsi="宋体" w:cs="宋体"/>
          <w:color w:val="000000"/>
          <w:sz w:val="19"/>
          <w:lang w:eastAsia="zh-CN"/>
        </w:rPr>
        <w:t>周岁；具有博士学位，在教学、科研第一线工作。国内应聘者应担任副高级及以上专业技术职务。具有博士学</w:t>
      </w:r>
    </w:p>
    <w:p w:rsidR="00E37845" w:rsidRDefault="00E22BDD">
      <w:pPr>
        <w:pStyle w:val="Normal1"/>
        <w:framePr w:w="11108" w:wrap="around" w:hAnchor="text" w:x="6072" w:y="9413"/>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位授予权高校的推荐人选须担任硕士生导师，但近三年从国（境）外引进人才不受此条件限制。国（境）外应聘者应</w:t>
      </w:r>
    </w:p>
    <w:p w:rsidR="00E37845" w:rsidRDefault="00E22BDD">
      <w:pPr>
        <w:pStyle w:val="Normal1"/>
        <w:framePr w:w="11108" w:wrap="around" w:hAnchor="text" w:x="6072" w:y="9413"/>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具有在世界知名大学、高水平研究机构或知名企业从事教学、科研或管理工作经历。具有广阔的学术视野和较强的创</w:t>
      </w:r>
    </w:p>
    <w:p w:rsidR="00E37845" w:rsidRDefault="00E22BDD">
      <w:pPr>
        <w:pStyle w:val="Normal1"/>
        <w:framePr w:w="11108" w:wrap="around" w:hAnchor="text" w:x="6072" w:y="9413"/>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新能力，在所从事的学科专业领域崭露头角，近五年来业绩成果突出，获得国内外较高专业成就及荣誉称号，有一定</w:t>
      </w:r>
    </w:p>
    <w:p w:rsidR="00E37845" w:rsidRDefault="00E22BDD">
      <w:pPr>
        <w:pStyle w:val="Normal1"/>
        <w:framePr w:w="11108" w:wrap="around" w:hAnchor="text" w:x="6072" w:y="9413"/>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的社会影响，有成为该学科领域学科或学术带头人的发展潜力。</w:t>
      </w:r>
    </w:p>
    <w:p w:rsidR="00E37845" w:rsidRDefault="00E22BDD">
      <w:pPr>
        <w:pStyle w:val="Normal1"/>
        <w:spacing w:before="0" w:after="0" w:line="0" w:lineRule="atLeast"/>
        <w:jc w:val="left"/>
        <w:rPr>
          <w:rFonts w:ascii="Arial"/>
          <w:color w:val="FF0000"/>
          <w:sz w:val="14"/>
          <w:lang w:eastAsia="zh-CN"/>
        </w:rPr>
        <w:sectPr w:rsidR="00E37845">
          <w:pgSz w:w="16820" w:h="11900" w:orient="landscape"/>
          <w:pgMar w:top="0" w:right="0" w:bottom="0" w:left="0" w:header="720" w:footer="720" w:gutter="0"/>
          <w:cols w:space="720"/>
          <w:docGrid w:linePitch="1"/>
        </w:sectPr>
      </w:pPr>
      <w:r>
        <w:rPr>
          <w:noProof/>
          <w:lang w:val="en-US" w:eastAsia="zh-CN"/>
        </w:rPr>
        <w:drawing>
          <wp:anchor distT="0" distB="0" distL="114300" distR="114300" simplePos="0" relativeHeight="251622912" behindDoc="1" locked="1" layoutInCell="1" allowOverlap="1">
            <wp:simplePos x="0" y="0"/>
            <wp:positionH relativeFrom="page">
              <wp:posOffset>822960</wp:posOffset>
            </wp:positionH>
            <wp:positionV relativeFrom="page">
              <wp:posOffset>922655</wp:posOffset>
            </wp:positionV>
            <wp:extent cx="10088880" cy="5981700"/>
            <wp:effectExtent l="0" t="0" r="7620" b="0"/>
            <wp:wrapNone/>
            <wp:docPr id="2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1"/>
                    <pic:cNvPicPr>
                      <a:picLocks noChangeAspect="1"/>
                    </pic:cNvPicPr>
                  </pic:nvPicPr>
                  <pic:blipFill>
                    <a:blip r:embed="rId20" cstate="print"/>
                    <a:stretch>
                      <a:fillRect/>
                    </a:stretch>
                  </pic:blipFill>
                  <pic:spPr>
                    <a:xfrm>
                      <a:off x="0" y="0"/>
                      <a:ext cx="10088880" cy="5981700"/>
                    </a:xfrm>
                    <a:prstGeom prst="rect">
                      <a:avLst/>
                    </a:prstGeom>
                    <a:noFill/>
                    <a:ln w="9525">
                      <a:noFill/>
                    </a:ln>
                  </pic:spPr>
                </pic:pic>
              </a:graphicData>
            </a:graphic>
          </wp:anchor>
        </w:drawing>
      </w:r>
      <w:r>
        <w:rPr>
          <w:rFonts w:ascii="Arial"/>
          <w:color w:val="FF0000"/>
          <w:sz w:val="14"/>
          <w:lang w:eastAsia="zh-CN"/>
        </w:rPr>
        <w:cr/>
      </w:r>
    </w:p>
    <w:p w:rsidR="00E37845" w:rsidRDefault="00E37845">
      <w:pPr>
        <w:pStyle w:val="Normal2"/>
        <w:spacing w:before="0" w:after="0" w:line="0" w:lineRule="atLeast"/>
        <w:jc w:val="left"/>
        <w:rPr>
          <w:rFonts w:ascii="Arial"/>
          <w:color w:val="FF0000"/>
          <w:sz w:val="2"/>
          <w:lang w:eastAsia="zh-CN"/>
        </w:rPr>
      </w:pPr>
      <w:bookmarkStart w:id="1259" w:name="br1_1"/>
      <w:bookmarkEnd w:id="1259"/>
    </w:p>
    <w:p w:rsidR="00E37845" w:rsidRDefault="00E22BDD">
      <w:pPr>
        <w:pStyle w:val="Normal0"/>
        <w:framePr w:w="11265" w:wrap="around" w:hAnchor="page" w:x="3433" w:y="852"/>
        <w:widowControl w:val="0"/>
        <w:autoSpaceDE w:val="0"/>
        <w:autoSpaceDN w:val="0"/>
        <w:adjustRightInd w:val="0"/>
        <w:spacing w:before="0" w:after="0" w:line="501" w:lineRule="exact"/>
        <w:jc w:val="left"/>
        <w:rPr>
          <w:rFonts w:ascii="黑体" w:eastAsia="黑体" w:hAnsi="黑体" w:cs="黑体"/>
          <w:color w:val="000000"/>
          <w:sz w:val="36"/>
          <w:szCs w:val="36"/>
          <w:lang w:val="en-US" w:eastAsia="zh-CN"/>
        </w:rPr>
      </w:pPr>
      <w:r>
        <w:rPr>
          <w:rFonts w:ascii="黑体" w:eastAsia="黑体" w:hAnsi="黑体" w:cs="黑体" w:hint="eastAsia"/>
          <w:color w:val="000000"/>
          <w:sz w:val="36"/>
          <w:szCs w:val="36"/>
          <w:lang w:eastAsia="zh-CN"/>
        </w:rPr>
        <w:t>广州大学申报国家（省市）各类人才项目一览表（</w:t>
      </w:r>
      <w:r>
        <w:rPr>
          <w:rFonts w:ascii="黑体" w:eastAsia="黑体" w:hAnsi="黑体" w:cs="黑体" w:hint="eastAsia"/>
          <w:color w:val="000000"/>
          <w:sz w:val="36"/>
          <w:szCs w:val="36"/>
          <w:lang w:val="en-US" w:eastAsia="zh-CN"/>
        </w:rPr>
        <w:t>人事处）</w:t>
      </w:r>
    </w:p>
    <w:p w:rsidR="00E37845" w:rsidRDefault="00E22BDD">
      <w:pPr>
        <w:pStyle w:val="Normal2"/>
        <w:framePr w:w="664" w:wrap="around" w:hAnchor="text" w:x="1422" w:y="1754"/>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序号</w:t>
      </w:r>
    </w:p>
    <w:p w:rsidR="00E37845" w:rsidRDefault="00E22BDD">
      <w:pPr>
        <w:pStyle w:val="Normal2"/>
        <w:framePr w:w="1043" w:wrap="around" w:hAnchor="text" w:x="2298" w:y="1754"/>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项目名称</w:t>
      </w:r>
    </w:p>
    <w:p w:rsidR="00E37845" w:rsidRDefault="00E22BDD">
      <w:pPr>
        <w:pStyle w:val="Normal2"/>
        <w:framePr w:w="1043" w:wrap="around" w:hAnchor="text" w:x="4350" w:y="1754"/>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主管部门</w:t>
      </w:r>
    </w:p>
    <w:p w:rsidR="00E37845" w:rsidRDefault="00E22BDD">
      <w:pPr>
        <w:pStyle w:val="Normal2"/>
        <w:framePr w:w="1137" w:wrap="around" w:hAnchor="text" w:x="10529" w:y="1754"/>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内容简介</w:t>
      </w:r>
      <w:r>
        <w:rPr>
          <w:rFonts w:ascii="宋体" w:hAnsi="宋体" w:cs="宋体"/>
          <w:color w:val="000000"/>
          <w:sz w:val="19"/>
          <w:lang w:eastAsia="zh-CN"/>
        </w:rPr>
        <w:t xml:space="preserve"> </w:t>
      </w:r>
    </w:p>
    <w:p w:rsidR="00E37845" w:rsidRDefault="00E22BDD">
      <w:pPr>
        <w:pStyle w:val="Normal2"/>
        <w:framePr w:w="1611" w:wrap="around" w:hAnchor="text" w:x="2014" w:y="2254"/>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广东省</w:t>
      </w:r>
      <w:r>
        <w:rPr>
          <w:rFonts w:ascii="宋体" w:hAnsi="宋体" w:cs="宋体"/>
          <w:color w:val="000000"/>
          <w:sz w:val="19"/>
          <w:lang w:eastAsia="zh-CN"/>
        </w:rPr>
        <w:t>“</w:t>
      </w:r>
      <w:r>
        <w:rPr>
          <w:rFonts w:ascii="宋体" w:hAnsi="宋体" w:cs="宋体"/>
          <w:color w:val="000000"/>
          <w:sz w:val="19"/>
          <w:lang w:eastAsia="zh-CN"/>
        </w:rPr>
        <w:t>特支计</w:t>
      </w:r>
    </w:p>
    <w:p w:rsidR="00E37845" w:rsidRDefault="00E22BDD">
      <w:pPr>
        <w:pStyle w:val="Normal2"/>
        <w:framePr w:w="1611" w:wrap="around" w:hAnchor="text" w:x="2014" w:y="2254"/>
        <w:widowControl w:val="0"/>
        <w:autoSpaceDE w:val="0"/>
        <w:autoSpaceDN w:val="0"/>
        <w:adjustRightInd w:val="0"/>
        <w:spacing w:before="0" w:after="0" w:line="218" w:lineRule="exact"/>
        <w:ind w:left="473"/>
        <w:jc w:val="left"/>
        <w:rPr>
          <w:rFonts w:ascii="宋体" w:hAnsi="宋体" w:cs="宋体"/>
          <w:color w:val="000000"/>
          <w:sz w:val="19"/>
          <w:lang w:eastAsia="zh-CN"/>
        </w:rPr>
      </w:pPr>
      <w:r>
        <w:rPr>
          <w:rFonts w:ascii="宋体" w:hAnsi="宋体" w:cs="宋体"/>
          <w:color w:val="000000"/>
          <w:sz w:val="19"/>
          <w:lang w:eastAsia="zh-CN"/>
        </w:rPr>
        <w:t>划</w:t>
      </w:r>
      <w:r>
        <w:rPr>
          <w:rFonts w:ascii="宋体" w:hAnsi="宋体" w:cs="宋体"/>
          <w:color w:val="000000"/>
          <w:sz w:val="19"/>
          <w:lang w:eastAsia="zh-CN"/>
        </w:rPr>
        <w:t>”</w:t>
      </w:r>
    </w:p>
    <w:p w:rsidR="00E37845" w:rsidRDefault="00E22BDD">
      <w:pPr>
        <w:pStyle w:val="Normal2"/>
        <w:framePr w:w="1611" w:wrap="around" w:hAnchor="text" w:x="2014" w:y="2254"/>
        <w:widowControl w:val="0"/>
        <w:autoSpaceDE w:val="0"/>
        <w:autoSpaceDN w:val="0"/>
        <w:adjustRightInd w:val="0"/>
        <w:spacing w:before="0" w:after="0" w:line="218" w:lineRule="exact"/>
        <w:ind w:left="331"/>
        <w:jc w:val="left"/>
        <w:rPr>
          <w:rFonts w:ascii="宋体" w:hAnsi="宋体" w:cs="宋体"/>
          <w:color w:val="000000"/>
          <w:sz w:val="19"/>
          <w:lang w:eastAsia="zh-CN"/>
        </w:rPr>
      </w:pPr>
      <w:r>
        <w:rPr>
          <w:rFonts w:ascii="宋体" w:hAnsi="宋体" w:cs="宋体"/>
          <w:color w:val="000000"/>
          <w:sz w:val="19"/>
          <w:lang w:eastAsia="zh-CN"/>
        </w:rPr>
        <w:t>（</w:t>
      </w:r>
      <w:r>
        <w:rPr>
          <w:rFonts w:ascii="宋体" w:hAnsi="宋体" w:cs="宋体"/>
          <w:color w:val="000000"/>
          <w:sz w:val="19"/>
          <w:lang w:eastAsia="zh-CN"/>
        </w:rPr>
        <w:t>8</w:t>
      </w:r>
      <w:r>
        <w:rPr>
          <w:rFonts w:ascii="宋体" w:hAnsi="宋体" w:cs="宋体"/>
          <w:color w:val="000000"/>
          <w:sz w:val="19"/>
          <w:lang w:eastAsia="zh-CN"/>
        </w:rPr>
        <w:t>月）</w:t>
      </w:r>
    </w:p>
    <w:p w:rsidR="00E37845" w:rsidRDefault="00E22BDD">
      <w:pPr>
        <w:pStyle w:val="Normal2"/>
        <w:framePr w:w="9286" w:wrap="around" w:hAnchor="page" w:x="6271" w:y="2363"/>
        <w:widowControl w:val="0"/>
        <w:autoSpaceDE w:val="0"/>
        <w:autoSpaceDN w:val="0"/>
        <w:adjustRightInd w:val="0"/>
        <w:spacing w:before="0" w:after="0" w:line="189" w:lineRule="exact"/>
        <w:jc w:val="left"/>
        <w:rPr>
          <w:rFonts w:ascii="宋体" w:hAnsi="宋体" w:cs="宋体"/>
          <w:color w:val="000000"/>
          <w:sz w:val="19"/>
          <w:lang w:eastAsia="zh-CN"/>
        </w:rPr>
      </w:pPr>
      <w:r>
        <w:rPr>
          <w:rFonts w:ascii="黑体" w:hAnsi="黑体" w:cs="黑体"/>
          <w:color w:val="000000"/>
          <w:sz w:val="19"/>
          <w:lang w:eastAsia="zh-CN"/>
        </w:rPr>
        <w:t>①“</w:t>
      </w:r>
      <w:r>
        <w:rPr>
          <w:rFonts w:ascii="黑体" w:hAnsi="黑体" w:cs="黑体"/>
          <w:color w:val="000000"/>
          <w:sz w:val="19"/>
          <w:lang w:eastAsia="zh-CN"/>
        </w:rPr>
        <w:t>广东特支计划</w:t>
      </w:r>
      <w:r>
        <w:rPr>
          <w:rFonts w:ascii="黑体" w:hAnsi="黑体" w:cs="黑体"/>
          <w:color w:val="000000"/>
          <w:sz w:val="19"/>
          <w:lang w:eastAsia="zh-CN"/>
        </w:rPr>
        <w:t>”</w:t>
      </w:r>
      <w:r>
        <w:rPr>
          <w:rFonts w:ascii="黑体" w:hAnsi="黑体" w:cs="黑体"/>
          <w:color w:val="000000"/>
          <w:sz w:val="19"/>
          <w:lang w:eastAsia="zh-CN"/>
        </w:rPr>
        <w:t>杰出人才：</w:t>
      </w:r>
      <w:r>
        <w:rPr>
          <w:rFonts w:ascii="宋体" w:hAnsi="宋体" w:cs="宋体"/>
          <w:color w:val="000000"/>
          <w:sz w:val="19"/>
          <w:lang w:eastAsia="zh-CN"/>
        </w:rPr>
        <w:t>遴选</w:t>
      </w:r>
      <w:r>
        <w:rPr>
          <w:rFonts w:ascii="宋体" w:hAnsi="宋体" w:cs="宋体"/>
          <w:color w:val="000000"/>
          <w:sz w:val="19"/>
          <w:lang w:eastAsia="zh-CN"/>
        </w:rPr>
        <w:t>15</w:t>
      </w:r>
      <w:r>
        <w:rPr>
          <w:rFonts w:ascii="宋体" w:hAnsi="宋体" w:cs="宋体"/>
          <w:color w:val="000000"/>
          <w:sz w:val="19"/>
          <w:lang w:eastAsia="zh-CN"/>
        </w:rPr>
        <w:t>名，研究方向处于科技发展前沿领域，在本学科领域有重大发现、较大影响力和较高的学术造诣，具有成长为中国科学院、中国工程院院士的潜力。</w:t>
      </w:r>
    </w:p>
    <w:p w:rsidR="00E37845" w:rsidRDefault="00E22BDD">
      <w:pPr>
        <w:pStyle w:val="Normal2"/>
        <w:framePr w:w="380" w:wrap="around" w:hAnchor="text" w:x="1564" w:y="2472"/>
        <w:widowControl w:val="0"/>
        <w:autoSpaceDE w:val="0"/>
        <w:autoSpaceDN w:val="0"/>
        <w:adjustRightInd w:val="0"/>
        <w:spacing w:before="0" w:after="0" w:line="189" w:lineRule="exact"/>
        <w:jc w:val="left"/>
        <w:rPr>
          <w:rFonts w:ascii="宋体"/>
          <w:color w:val="000000"/>
          <w:sz w:val="19"/>
          <w:lang w:eastAsia="zh-CN"/>
        </w:rPr>
      </w:pPr>
      <w:r>
        <w:rPr>
          <w:rFonts w:ascii="宋体"/>
          <w:color w:val="000000"/>
          <w:sz w:val="19"/>
          <w:lang w:eastAsia="zh-CN"/>
        </w:rPr>
        <w:t>7</w:t>
      </w:r>
    </w:p>
    <w:p w:rsidR="00E37845" w:rsidRDefault="00E22BDD">
      <w:pPr>
        <w:pStyle w:val="Normal2"/>
        <w:framePr w:w="1611" w:wrap="around" w:hAnchor="text" w:x="2014" w:y="3247"/>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受政府特殊津</w:t>
      </w:r>
    </w:p>
    <w:p w:rsidR="00E37845" w:rsidRDefault="00E22BDD">
      <w:pPr>
        <w:pStyle w:val="Normal2"/>
        <w:framePr w:w="1611" w:wrap="around" w:hAnchor="text" w:x="2014" w:y="3247"/>
        <w:widowControl w:val="0"/>
        <w:autoSpaceDE w:val="0"/>
        <w:autoSpaceDN w:val="0"/>
        <w:adjustRightInd w:val="0"/>
        <w:spacing w:before="0" w:after="0" w:line="218" w:lineRule="exact"/>
        <w:ind w:left="189"/>
        <w:jc w:val="left"/>
        <w:rPr>
          <w:rFonts w:ascii="宋体" w:hAnsi="宋体" w:cs="宋体"/>
          <w:color w:val="000000"/>
          <w:sz w:val="19"/>
          <w:lang w:eastAsia="zh-CN"/>
        </w:rPr>
      </w:pPr>
      <w:r>
        <w:rPr>
          <w:rFonts w:ascii="宋体" w:hAnsi="宋体" w:cs="宋体"/>
          <w:color w:val="000000"/>
          <w:sz w:val="19"/>
          <w:lang w:eastAsia="zh-CN"/>
        </w:rPr>
        <w:t>贴人员选拔</w:t>
      </w:r>
    </w:p>
    <w:p w:rsidR="00E37845" w:rsidRDefault="00E22BDD">
      <w:pPr>
        <w:pStyle w:val="Normal2"/>
        <w:framePr w:w="380" w:wrap="around" w:hAnchor="text" w:x="1564" w:y="3356"/>
        <w:widowControl w:val="0"/>
        <w:autoSpaceDE w:val="0"/>
        <w:autoSpaceDN w:val="0"/>
        <w:adjustRightInd w:val="0"/>
        <w:spacing w:before="0" w:after="0" w:line="189" w:lineRule="exact"/>
        <w:jc w:val="left"/>
        <w:rPr>
          <w:rFonts w:ascii="宋体"/>
          <w:color w:val="000000"/>
          <w:sz w:val="19"/>
          <w:lang w:eastAsia="zh-CN"/>
        </w:rPr>
      </w:pPr>
      <w:r>
        <w:rPr>
          <w:rFonts w:ascii="宋体"/>
          <w:color w:val="000000"/>
          <w:sz w:val="19"/>
          <w:lang w:eastAsia="zh-CN"/>
        </w:rPr>
        <w:t>8</w:t>
      </w:r>
    </w:p>
    <w:p w:rsidR="00E37845" w:rsidRDefault="00E22BDD">
      <w:pPr>
        <w:pStyle w:val="Normal2"/>
        <w:framePr w:w="2179" w:wrap="around" w:hAnchor="text" w:x="3782" w:y="3356"/>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人力资源和社会保障部</w:t>
      </w:r>
    </w:p>
    <w:p w:rsidR="00E37845" w:rsidRDefault="00E22BDD">
      <w:pPr>
        <w:pStyle w:val="Normal2"/>
        <w:framePr w:w="11108" w:wrap="around" w:hAnchor="text" w:x="6072" w:y="4026"/>
        <w:widowControl w:val="0"/>
        <w:autoSpaceDE w:val="0"/>
        <w:autoSpaceDN w:val="0"/>
        <w:adjustRightInd w:val="0"/>
        <w:spacing w:before="0" w:after="0" w:line="189" w:lineRule="exact"/>
        <w:jc w:val="left"/>
        <w:rPr>
          <w:rFonts w:ascii="宋体" w:hAnsi="宋体" w:cs="宋体"/>
          <w:color w:val="000000"/>
          <w:sz w:val="19"/>
          <w:lang w:eastAsia="zh-CN"/>
        </w:rPr>
      </w:pPr>
      <w:r>
        <w:rPr>
          <w:rFonts w:ascii="黑体" w:hAnsi="黑体" w:cs="黑体"/>
          <w:color w:val="000000"/>
          <w:sz w:val="19"/>
          <w:lang w:eastAsia="zh-CN"/>
        </w:rPr>
        <w:t>①20</w:t>
      </w:r>
      <w:r>
        <w:rPr>
          <w:rFonts w:ascii="黑体" w:hAnsi="黑体" w:cs="黑体"/>
          <w:color w:val="000000"/>
          <w:sz w:val="19"/>
          <w:lang w:eastAsia="zh-CN"/>
        </w:rPr>
        <w:t>名位于国际科技前沿的中国科学院、中国工程院院士后备人才（</w:t>
      </w:r>
      <w:r>
        <w:rPr>
          <w:rFonts w:ascii="黑体" w:hAnsi="黑体" w:cs="黑体"/>
          <w:color w:val="000000"/>
          <w:sz w:val="19"/>
          <w:lang w:eastAsia="zh-CN"/>
        </w:rPr>
        <w:t>“</w:t>
      </w:r>
      <w:r>
        <w:rPr>
          <w:rFonts w:ascii="黑体" w:hAnsi="黑体" w:cs="黑体"/>
          <w:color w:val="000000"/>
          <w:sz w:val="19"/>
          <w:lang w:eastAsia="zh-CN"/>
        </w:rPr>
        <w:t>第一梯队</w:t>
      </w:r>
      <w:r>
        <w:rPr>
          <w:rFonts w:ascii="黑体" w:hAnsi="黑体" w:cs="黑体"/>
          <w:color w:val="000000"/>
          <w:sz w:val="19"/>
          <w:lang w:eastAsia="zh-CN"/>
        </w:rPr>
        <w:t>”</w:t>
      </w:r>
      <w:r>
        <w:rPr>
          <w:rFonts w:ascii="黑体" w:hAnsi="黑体" w:cs="黑体"/>
          <w:color w:val="000000"/>
          <w:sz w:val="19"/>
          <w:lang w:eastAsia="zh-CN"/>
        </w:rPr>
        <w:t>）</w:t>
      </w:r>
      <w:r>
        <w:rPr>
          <w:rFonts w:ascii="宋体" w:hAnsi="宋体" w:cs="宋体"/>
          <w:color w:val="000000"/>
          <w:sz w:val="19"/>
          <w:lang w:eastAsia="zh-CN"/>
        </w:rPr>
        <w:t>。取得副高级以上专业技术资格</w:t>
      </w:r>
    </w:p>
    <w:p w:rsidR="00E37845" w:rsidRDefault="00E22BDD">
      <w:pPr>
        <w:pStyle w:val="Normal2"/>
        <w:framePr w:w="11108" w:wrap="around" w:hAnchor="text" w:x="6072" w:y="4026"/>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或高级技师职业资格。申报人申报时年龄应距离法定退休年龄</w:t>
      </w:r>
      <w:r>
        <w:rPr>
          <w:rFonts w:ascii="宋体" w:hAnsi="宋体" w:cs="宋体"/>
          <w:color w:val="000000"/>
          <w:sz w:val="19"/>
          <w:lang w:eastAsia="zh-CN"/>
        </w:rPr>
        <w:t>5</w:t>
      </w:r>
      <w:r>
        <w:rPr>
          <w:rFonts w:ascii="宋体" w:hAnsi="宋体" w:cs="宋体"/>
          <w:color w:val="000000"/>
          <w:sz w:val="19"/>
          <w:lang w:eastAsia="zh-CN"/>
        </w:rPr>
        <w:t>年以上，近</w:t>
      </w:r>
      <w:r>
        <w:rPr>
          <w:rFonts w:ascii="宋体" w:hAnsi="宋体" w:cs="宋体"/>
          <w:color w:val="000000"/>
          <w:sz w:val="19"/>
          <w:lang w:eastAsia="zh-CN"/>
        </w:rPr>
        <w:t>5</w:t>
      </w:r>
      <w:r>
        <w:rPr>
          <w:rFonts w:ascii="宋体" w:hAnsi="宋体" w:cs="宋体"/>
          <w:color w:val="000000"/>
          <w:sz w:val="19"/>
          <w:lang w:eastAsia="zh-CN"/>
        </w:rPr>
        <w:t>年来科研成果应满足以下条件：</w:t>
      </w:r>
      <w:r>
        <w:rPr>
          <w:rFonts w:ascii="宋体" w:hAnsi="宋体" w:cs="宋体"/>
          <w:color w:val="000000"/>
          <w:sz w:val="19"/>
          <w:lang w:eastAsia="zh-CN"/>
        </w:rPr>
        <w:t>1.</w:t>
      </w:r>
      <w:r>
        <w:rPr>
          <w:rFonts w:ascii="宋体" w:hAnsi="宋体" w:cs="宋体"/>
          <w:color w:val="000000"/>
          <w:sz w:val="19"/>
          <w:lang w:eastAsia="zh-CN"/>
        </w:rPr>
        <w:t>在科学</w:t>
      </w:r>
    </w:p>
    <w:p w:rsidR="00E37845" w:rsidRDefault="00E22BDD">
      <w:pPr>
        <w:pStyle w:val="Normal2"/>
        <w:framePr w:w="11108" w:wrap="around" w:hAnchor="text" w:x="6072" w:y="4026"/>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技术和工程科学技术领域作出突破性、创造性的成果，并达到国际领先或先进水平，为国内外同行所公认。</w:t>
      </w:r>
      <w:r>
        <w:rPr>
          <w:rFonts w:ascii="宋体" w:hAnsi="宋体" w:cs="宋体"/>
          <w:color w:val="000000"/>
          <w:sz w:val="19"/>
          <w:lang w:eastAsia="zh-CN"/>
        </w:rPr>
        <w:t>2.</w:t>
      </w:r>
      <w:r>
        <w:rPr>
          <w:rFonts w:ascii="宋体" w:hAnsi="宋体" w:cs="宋体"/>
          <w:color w:val="000000"/>
          <w:sz w:val="19"/>
          <w:lang w:eastAsia="zh-CN"/>
        </w:rPr>
        <w:t>国家自</w:t>
      </w:r>
    </w:p>
    <w:p w:rsidR="00E37845" w:rsidRDefault="00E22BDD">
      <w:pPr>
        <w:pStyle w:val="Normal2"/>
        <w:framePr w:w="11108" w:wrap="around" w:hAnchor="text" w:x="6072" w:y="4026"/>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然科学奖、国家技术发明奖、国家科学技术进步奖二等奖以上或省、部级科技进步奖一等奖主要获得者（排名前三位</w:t>
      </w:r>
    </w:p>
    <w:p w:rsidR="00E37845" w:rsidRDefault="00E22BDD">
      <w:pPr>
        <w:pStyle w:val="Normal2"/>
        <w:framePr w:w="11108" w:wrap="around" w:hAnchor="text" w:x="6072" w:y="4026"/>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）优先入选。</w:t>
      </w:r>
    </w:p>
    <w:p w:rsidR="00E37845" w:rsidRDefault="00E22BDD">
      <w:pPr>
        <w:pStyle w:val="Normal2"/>
        <w:framePr w:w="380" w:wrap="around" w:hAnchor="text" w:x="1564" w:y="5182"/>
        <w:widowControl w:val="0"/>
        <w:autoSpaceDE w:val="0"/>
        <w:autoSpaceDN w:val="0"/>
        <w:adjustRightInd w:val="0"/>
        <w:spacing w:before="0" w:after="0" w:line="189" w:lineRule="exact"/>
        <w:jc w:val="left"/>
        <w:rPr>
          <w:rFonts w:ascii="宋体"/>
          <w:color w:val="000000"/>
          <w:sz w:val="19"/>
          <w:lang w:eastAsia="zh-CN"/>
        </w:rPr>
      </w:pPr>
      <w:r>
        <w:rPr>
          <w:rFonts w:ascii="宋体"/>
          <w:color w:val="000000"/>
          <w:sz w:val="19"/>
          <w:lang w:eastAsia="zh-CN"/>
        </w:rPr>
        <w:t>9</w:t>
      </w:r>
    </w:p>
    <w:p w:rsidR="00E37845" w:rsidRDefault="00E22BDD">
      <w:pPr>
        <w:pStyle w:val="Normal2"/>
        <w:framePr w:w="1421" w:wrap="around" w:hAnchor="text" w:x="2109" w:y="5182"/>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岭南英杰工程</w:t>
      </w:r>
    </w:p>
    <w:p w:rsidR="00E37845" w:rsidRDefault="00E22BDD">
      <w:pPr>
        <w:pStyle w:val="Normal2"/>
        <w:framePr w:w="1990" w:wrap="around" w:hAnchor="text" w:x="3877" w:y="5182"/>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市委组织部、人社局</w:t>
      </w:r>
    </w:p>
    <w:p w:rsidR="00E37845" w:rsidRDefault="00E22BDD">
      <w:pPr>
        <w:pStyle w:val="Normal2"/>
        <w:framePr w:w="11217" w:wrap="around" w:hAnchor="text" w:x="6072" w:y="5199"/>
        <w:widowControl w:val="0"/>
        <w:autoSpaceDE w:val="0"/>
        <w:autoSpaceDN w:val="0"/>
        <w:adjustRightInd w:val="0"/>
        <w:spacing w:before="0" w:after="0" w:line="189" w:lineRule="exact"/>
        <w:jc w:val="left"/>
        <w:rPr>
          <w:rFonts w:ascii="宋体" w:hAnsi="宋体" w:cs="宋体"/>
          <w:color w:val="000000"/>
          <w:sz w:val="19"/>
          <w:lang w:eastAsia="zh-CN"/>
        </w:rPr>
      </w:pPr>
      <w:r>
        <w:rPr>
          <w:rFonts w:ascii="黑体" w:hAnsi="黑体" w:cs="黑体"/>
          <w:color w:val="000000"/>
          <w:sz w:val="19"/>
          <w:lang w:eastAsia="zh-CN"/>
        </w:rPr>
        <w:t>②200</w:t>
      </w:r>
      <w:r>
        <w:rPr>
          <w:rFonts w:ascii="黑体" w:hAnsi="黑体" w:cs="黑体"/>
          <w:color w:val="000000"/>
          <w:sz w:val="19"/>
          <w:lang w:eastAsia="zh-CN"/>
        </w:rPr>
        <w:t>名具有国内领先水平的国家级重大人才工程人选后备人才（</w:t>
      </w:r>
      <w:r>
        <w:rPr>
          <w:rFonts w:ascii="黑体" w:hAnsi="黑体" w:cs="黑体"/>
          <w:color w:val="000000"/>
          <w:sz w:val="19"/>
          <w:lang w:eastAsia="zh-CN"/>
        </w:rPr>
        <w:t>“</w:t>
      </w:r>
      <w:r>
        <w:rPr>
          <w:rFonts w:ascii="黑体" w:hAnsi="黑体" w:cs="黑体"/>
          <w:color w:val="000000"/>
          <w:sz w:val="19"/>
          <w:lang w:eastAsia="zh-CN"/>
        </w:rPr>
        <w:t>第二梯队</w:t>
      </w:r>
      <w:r>
        <w:rPr>
          <w:rFonts w:ascii="黑体" w:hAnsi="黑体" w:cs="黑体"/>
          <w:color w:val="000000"/>
          <w:sz w:val="19"/>
          <w:lang w:eastAsia="zh-CN"/>
        </w:rPr>
        <w:t>”</w:t>
      </w:r>
      <w:r>
        <w:rPr>
          <w:rFonts w:ascii="黑体" w:hAnsi="黑体" w:cs="黑体"/>
          <w:color w:val="000000"/>
          <w:sz w:val="19"/>
          <w:lang w:eastAsia="zh-CN"/>
        </w:rPr>
        <w:t>）</w:t>
      </w:r>
      <w:r>
        <w:rPr>
          <w:rFonts w:ascii="宋体" w:hAnsi="宋体" w:cs="宋体"/>
          <w:color w:val="000000"/>
          <w:sz w:val="19"/>
          <w:lang w:eastAsia="zh-CN"/>
        </w:rPr>
        <w:t>。取得副高级以上专业技术资格或高</w:t>
      </w:r>
    </w:p>
    <w:p w:rsidR="00E37845" w:rsidRDefault="00E22BDD">
      <w:pPr>
        <w:pStyle w:val="Normal2"/>
        <w:framePr w:w="11217" w:wrap="around" w:hAnchor="text" w:x="6072" w:y="5199"/>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级技师职业资格。申报人申报时年龄应距离法定退休年龄</w:t>
      </w:r>
      <w:r>
        <w:rPr>
          <w:rFonts w:ascii="宋体" w:hAnsi="宋体" w:cs="宋体"/>
          <w:color w:val="000000"/>
          <w:sz w:val="19"/>
          <w:lang w:eastAsia="zh-CN"/>
        </w:rPr>
        <w:t>5</w:t>
      </w:r>
      <w:r>
        <w:rPr>
          <w:rFonts w:ascii="宋体" w:hAnsi="宋体" w:cs="宋体"/>
          <w:color w:val="000000"/>
          <w:sz w:val="19"/>
          <w:lang w:eastAsia="zh-CN"/>
        </w:rPr>
        <w:t>年以上，近</w:t>
      </w:r>
      <w:r>
        <w:rPr>
          <w:rFonts w:ascii="宋体" w:hAnsi="宋体" w:cs="宋体"/>
          <w:color w:val="000000"/>
          <w:sz w:val="19"/>
          <w:lang w:eastAsia="zh-CN"/>
        </w:rPr>
        <w:t>5</w:t>
      </w:r>
      <w:r>
        <w:rPr>
          <w:rFonts w:ascii="宋体" w:hAnsi="宋体" w:cs="宋体"/>
          <w:color w:val="000000"/>
          <w:sz w:val="19"/>
          <w:lang w:eastAsia="zh-CN"/>
        </w:rPr>
        <w:t>年来科研成果应满足以下条件：在自科和社科</w:t>
      </w:r>
    </w:p>
    <w:p w:rsidR="00E37845" w:rsidRDefault="00E22BDD">
      <w:pPr>
        <w:pStyle w:val="Normal2"/>
        <w:framePr w:w="11217" w:wrap="around" w:hAnchor="text" w:x="6072" w:y="5199"/>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研究领域作出突出贡献，其学科建设学术水平处于国内领先或先进水平；在工农业生产和科技推广第一线，在技术研</w:t>
      </w:r>
    </w:p>
    <w:p w:rsidR="00E37845" w:rsidRDefault="00E22BDD">
      <w:pPr>
        <w:pStyle w:val="Normal2"/>
        <w:framePr w:w="11217" w:wrap="around" w:hAnchor="text" w:x="6072" w:y="5199"/>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究与开发中有重大发明创造、重大技术革新、重大技术成果转化或解决了关键性的技术难题，并产生显著经济效益和</w:t>
      </w:r>
    </w:p>
    <w:p w:rsidR="00E37845" w:rsidRDefault="00E22BDD">
      <w:pPr>
        <w:pStyle w:val="Normal2"/>
        <w:framePr w:w="11217" w:wrap="around" w:hAnchor="text" w:x="6072" w:y="5199"/>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社会效益；在教育、科技、文化、卫生以及先进制造业、战略性新兴产业、生产性服务业等行业、领域作出突出贡献</w:t>
      </w:r>
    </w:p>
    <w:p w:rsidR="00E37845" w:rsidRDefault="00E22BDD">
      <w:pPr>
        <w:pStyle w:val="Normal2"/>
        <w:framePr w:w="11217" w:wrap="around" w:hAnchor="text" w:x="6072" w:y="5199"/>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 xml:space="preserve">，社会影响大，业绩为同行所公认。　</w:t>
      </w:r>
    </w:p>
    <w:p w:rsidR="00E37845" w:rsidRDefault="00E22BDD">
      <w:pPr>
        <w:pStyle w:val="Normal2"/>
        <w:framePr w:w="11108" w:wrap="around" w:hAnchor="text" w:x="6072" w:y="6626"/>
        <w:widowControl w:val="0"/>
        <w:autoSpaceDE w:val="0"/>
        <w:autoSpaceDN w:val="0"/>
        <w:adjustRightInd w:val="0"/>
        <w:spacing w:before="0" w:after="0" w:line="189" w:lineRule="exact"/>
        <w:jc w:val="left"/>
        <w:rPr>
          <w:rFonts w:ascii="宋体" w:hAnsi="宋体" w:cs="宋体"/>
          <w:color w:val="000000"/>
          <w:sz w:val="19"/>
          <w:lang w:eastAsia="zh-CN"/>
        </w:rPr>
      </w:pPr>
      <w:r>
        <w:rPr>
          <w:rFonts w:ascii="黑体" w:hAnsi="黑体" w:cs="黑体"/>
          <w:color w:val="000000"/>
          <w:sz w:val="19"/>
          <w:lang w:eastAsia="zh-CN"/>
        </w:rPr>
        <w:t>①</w:t>
      </w:r>
      <w:r>
        <w:rPr>
          <w:rFonts w:ascii="黑体" w:hAnsi="黑体" w:cs="黑体"/>
          <w:color w:val="000000"/>
          <w:sz w:val="19"/>
          <w:lang w:eastAsia="zh-CN"/>
        </w:rPr>
        <w:t>广州市杰出专家：</w:t>
      </w:r>
      <w:r>
        <w:rPr>
          <w:rFonts w:ascii="宋体" w:hAnsi="宋体" w:cs="宋体"/>
          <w:color w:val="000000"/>
          <w:sz w:val="19"/>
          <w:lang w:eastAsia="zh-CN"/>
        </w:rPr>
        <w:t>诺贝尔奖获得者，中国国家最高科学技术奖等获得者，两院院士和外国国家院士，千人计划顶尖</w:t>
      </w:r>
    </w:p>
    <w:p w:rsidR="00E37845" w:rsidRDefault="00E22BDD">
      <w:pPr>
        <w:pStyle w:val="Normal2"/>
        <w:framePr w:w="11108" w:wrap="around" w:hAnchor="text" w:x="6072" w:y="6626"/>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人才、创新人才长期项目，万人计划杰出人才等入选者，国家杰青、长江学者等。</w:t>
      </w:r>
    </w:p>
    <w:p w:rsidR="00E37845" w:rsidRDefault="00E22BDD">
      <w:pPr>
        <w:pStyle w:val="Normal2"/>
        <w:framePr w:w="11108" w:wrap="around" w:hAnchor="text" w:x="6072" w:y="7197"/>
        <w:widowControl w:val="0"/>
        <w:autoSpaceDE w:val="0"/>
        <w:autoSpaceDN w:val="0"/>
        <w:adjustRightInd w:val="0"/>
        <w:spacing w:before="0" w:after="0" w:line="189" w:lineRule="exact"/>
        <w:jc w:val="left"/>
        <w:rPr>
          <w:rFonts w:ascii="宋体" w:hAnsi="宋体" w:cs="宋体"/>
          <w:color w:val="000000"/>
          <w:sz w:val="19"/>
          <w:lang w:eastAsia="zh-CN"/>
        </w:rPr>
      </w:pPr>
      <w:r>
        <w:rPr>
          <w:rFonts w:ascii="黑体" w:hAnsi="黑体" w:cs="黑体"/>
          <w:color w:val="000000"/>
          <w:sz w:val="19"/>
          <w:lang w:eastAsia="zh-CN"/>
        </w:rPr>
        <w:t>②</w:t>
      </w:r>
      <w:r>
        <w:rPr>
          <w:rFonts w:ascii="黑体" w:hAnsi="黑体" w:cs="黑体"/>
          <w:color w:val="000000"/>
          <w:sz w:val="19"/>
          <w:lang w:eastAsia="zh-CN"/>
        </w:rPr>
        <w:t>广州市优秀专家</w:t>
      </w:r>
      <w:r>
        <w:rPr>
          <w:rFonts w:ascii="宋体" w:hAnsi="宋体" w:cs="宋体"/>
          <w:color w:val="000000"/>
          <w:sz w:val="19"/>
          <w:lang w:eastAsia="zh-CN"/>
        </w:rPr>
        <w:t>：国家</w:t>
      </w:r>
      <w:r>
        <w:rPr>
          <w:rFonts w:ascii="宋体" w:hAnsi="宋体" w:cs="宋体"/>
          <w:color w:val="000000"/>
          <w:sz w:val="19"/>
          <w:lang w:eastAsia="zh-CN"/>
        </w:rPr>
        <w:t>“</w:t>
      </w:r>
      <w:r>
        <w:rPr>
          <w:rFonts w:ascii="宋体" w:hAnsi="宋体" w:cs="宋体"/>
          <w:color w:val="000000"/>
          <w:sz w:val="19"/>
          <w:lang w:eastAsia="zh-CN"/>
        </w:rPr>
        <w:t>千人计划</w:t>
      </w:r>
      <w:r>
        <w:rPr>
          <w:rFonts w:ascii="宋体" w:hAnsi="宋体" w:cs="宋体"/>
          <w:color w:val="000000"/>
          <w:sz w:val="19"/>
          <w:lang w:eastAsia="zh-CN"/>
        </w:rPr>
        <w:t>”</w:t>
      </w:r>
      <w:r>
        <w:rPr>
          <w:rFonts w:ascii="宋体" w:hAnsi="宋体" w:cs="宋体"/>
          <w:color w:val="000000"/>
          <w:sz w:val="19"/>
          <w:lang w:eastAsia="zh-CN"/>
        </w:rPr>
        <w:t>创新人才短期项目、文化艺术人才短期项目、青年项目入选者；国家</w:t>
      </w:r>
      <w:r>
        <w:rPr>
          <w:rFonts w:ascii="宋体" w:hAnsi="宋体" w:cs="宋体"/>
          <w:color w:val="000000"/>
          <w:sz w:val="19"/>
          <w:lang w:eastAsia="zh-CN"/>
        </w:rPr>
        <w:t>“</w:t>
      </w:r>
      <w:r>
        <w:rPr>
          <w:rFonts w:ascii="宋体" w:hAnsi="宋体" w:cs="宋体"/>
          <w:color w:val="000000"/>
          <w:sz w:val="19"/>
          <w:lang w:eastAsia="zh-CN"/>
        </w:rPr>
        <w:t>万人计</w:t>
      </w:r>
    </w:p>
    <w:p w:rsidR="00E37845" w:rsidRDefault="00E22BDD">
      <w:pPr>
        <w:pStyle w:val="Normal2"/>
        <w:framePr w:w="11108" w:wrap="around" w:hAnchor="text" w:x="6072" w:y="7197"/>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划</w:t>
      </w:r>
      <w:r>
        <w:rPr>
          <w:rFonts w:ascii="宋体" w:hAnsi="宋体" w:cs="宋体"/>
          <w:color w:val="000000"/>
          <w:sz w:val="19"/>
          <w:lang w:eastAsia="zh-CN"/>
        </w:rPr>
        <w:t>”</w:t>
      </w:r>
      <w:r>
        <w:rPr>
          <w:rFonts w:ascii="宋体" w:hAnsi="宋体" w:cs="宋体"/>
          <w:color w:val="000000"/>
          <w:sz w:val="19"/>
          <w:lang w:eastAsia="zh-CN"/>
        </w:rPr>
        <w:t>领军人才项目、青年拔尖人才项目入选者；国家优青、中科院百人计划、珠江学者特聘教授；在《自然》（《</w:t>
      </w:r>
    </w:p>
    <w:p w:rsidR="00E37845" w:rsidRDefault="00E22BDD">
      <w:pPr>
        <w:pStyle w:val="Normal2"/>
        <w:framePr w:w="11108" w:wrap="around" w:hAnchor="text" w:x="6072" w:y="7197"/>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Nature</w:t>
      </w:r>
      <w:r>
        <w:rPr>
          <w:rFonts w:ascii="宋体" w:hAnsi="宋体" w:cs="宋体"/>
          <w:color w:val="000000"/>
          <w:sz w:val="19"/>
          <w:lang w:eastAsia="zh-CN"/>
        </w:rPr>
        <w:t>》）或《科学》（《</w:t>
      </w:r>
      <w:r>
        <w:rPr>
          <w:rFonts w:ascii="宋体" w:hAnsi="宋体" w:cs="宋体"/>
          <w:color w:val="000000"/>
          <w:sz w:val="19"/>
          <w:lang w:eastAsia="zh-CN"/>
        </w:rPr>
        <w:t>Science</w:t>
      </w:r>
      <w:r>
        <w:rPr>
          <w:rFonts w:ascii="宋体" w:hAnsi="宋体" w:cs="宋体"/>
          <w:color w:val="000000"/>
          <w:sz w:val="19"/>
          <w:lang w:eastAsia="zh-CN"/>
        </w:rPr>
        <w:t>》）上以第一作者或通讯作者发表论文等。</w:t>
      </w:r>
    </w:p>
    <w:p w:rsidR="00E37845" w:rsidRDefault="00E22BDD">
      <w:pPr>
        <w:pStyle w:val="Normal2"/>
        <w:framePr w:w="1611" w:wrap="around" w:hAnchor="text" w:x="2014" w:y="7374"/>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广州市高层次人</w:t>
      </w:r>
    </w:p>
    <w:p w:rsidR="00E37845" w:rsidRDefault="00E22BDD">
      <w:pPr>
        <w:pStyle w:val="Normal2"/>
        <w:framePr w:w="1611" w:wrap="around" w:hAnchor="text" w:x="2014" w:y="7374"/>
        <w:widowControl w:val="0"/>
        <w:autoSpaceDE w:val="0"/>
        <w:autoSpaceDN w:val="0"/>
        <w:adjustRightInd w:val="0"/>
        <w:spacing w:before="0" w:after="0" w:line="218" w:lineRule="exact"/>
        <w:ind w:left="379"/>
        <w:jc w:val="left"/>
        <w:rPr>
          <w:rFonts w:ascii="宋体" w:hAnsi="宋体" w:cs="宋体"/>
          <w:color w:val="000000"/>
          <w:sz w:val="19"/>
          <w:lang w:eastAsia="zh-CN"/>
        </w:rPr>
      </w:pPr>
      <w:r>
        <w:rPr>
          <w:rFonts w:ascii="宋体" w:hAnsi="宋体" w:cs="宋体"/>
          <w:color w:val="000000"/>
          <w:sz w:val="19"/>
          <w:lang w:eastAsia="zh-CN"/>
        </w:rPr>
        <w:t>才认定</w:t>
      </w:r>
    </w:p>
    <w:p w:rsidR="00E37845" w:rsidRDefault="00E22BDD">
      <w:pPr>
        <w:pStyle w:val="Normal2"/>
        <w:framePr w:w="474" w:wrap="around" w:hAnchor="text" w:x="1517" w:y="7483"/>
        <w:widowControl w:val="0"/>
        <w:autoSpaceDE w:val="0"/>
        <w:autoSpaceDN w:val="0"/>
        <w:adjustRightInd w:val="0"/>
        <w:spacing w:before="0" w:after="0" w:line="189" w:lineRule="exact"/>
        <w:jc w:val="left"/>
        <w:rPr>
          <w:rFonts w:ascii="宋体"/>
          <w:color w:val="000000"/>
          <w:sz w:val="19"/>
          <w:lang w:eastAsia="zh-CN"/>
        </w:rPr>
      </w:pPr>
      <w:r>
        <w:rPr>
          <w:rFonts w:ascii="宋体"/>
          <w:color w:val="000000"/>
          <w:sz w:val="19"/>
          <w:lang w:eastAsia="zh-CN"/>
        </w:rPr>
        <w:t>10</w:t>
      </w:r>
    </w:p>
    <w:p w:rsidR="00E37845" w:rsidRDefault="00E22BDD">
      <w:pPr>
        <w:pStyle w:val="Normal2"/>
        <w:framePr w:w="1990" w:wrap="around" w:hAnchor="text" w:x="3877" w:y="7483"/>
        <w:widowControl w:val="0"/>
        <w:autoSpaceDE w:val="0"/>
        <w:autoSpaceDN w:val="0"/>
        <w:adjustRightInd w:val="0"/>
        <w:spacing w:before="0" w:after="0" w:line="189" w:lineRule="exact"/>
        <w:jc w:val="left"/>
        <w:rPr>
          <w:rFonts w:ascii="宋体" w:hAnsi="宋体" w:cs="宋体"/>
          <w:color w:val="000000"/>
          <w:sz w:val="19"/>
          <w:lang w:eastAsia="zh-CN"/>
        </w:rPr>
      </w:pPr>
      <w:r>
        <w:rPr>
          <w:rFonts w:ascii="宋体" w:hAnsi="宋体" w:cs="宋体"/>
          <w:color w:val="000000"/>
          <w:sz w:val="19"/>
          <w:lang w:eastAsia="zh-CN"/>
        </w:rPr>
        <w:t>市委组织部等九部门</w:t>
      </w:r>
    </w:p>
    <w:p w:rsidR="00E37845" w:rsidRDefault="00E22BDD">
      <w:pPr>
        <w:pStyle w:val="Normal2"/>
        <w:framePr w:w="11217" w:wrap="around" w:hAnchor="text" w:x="6072" w:y="7945"/>
        <w:widowControl w:val="0"/>
        <w:autoSpaceDE w:val="0"/>
        <w:autoSpaceDN w:val="0"/>
        <w:adjustRightInd w:val="0"/>
        <w:spacing w:before="0" w:after="0" w:line="189" w:lineRule="exact"/>
        <w:jc w:val="left"/>
        <w:rPr>
          <w:rFonts w:ascii="宋体" w:hAnsi="宋体" w:cs="宋体"/>
          <w:color w:val="000000"/>
          <w:sz w:val="19"/>
          <w:lang w:eastAsia="zh-CN"/>
        </w:rPr>
      </w:pPr>
      <w:r>
        <w:rPr>
          <w:rFonts w:ascii="黑体" w:hAnsi="黑体" w:cs="黑体"/>
          <w:color w:val="000000"/>
          <w:sz w:val="19"/>
          <w:lang w:eastAsia="zh-CN"/>
        </w:rPr>
        <w:t>③</w:t>
      </w:r>
      <w:r>
        <w:rPr>
          <w:rFonts w:ascii="黑体" w:hAnsi="黑体" w:cs="黑体"/>
          <w:color w:val="000000"/>
          <w:sz w:val="19"/>
          <w:lang w:eastAsia="zh-CN"/>
        </w:rPr>
        <w:t>广州市青年后备人才</w:t>
      </w:r>
      <w:r>
        <w:rPr>
          <w:rFonts w:ascii="宋体" w:hAnsi="宋体" w:cs="宋体"/>
          <w:color w:val="000000"/>
          <w:sz w:val="19"/>
          <w:lang w:eastAsia="zh-CN"/>
        </w:rPr>
        <w:t>：近</w:t>
      </w:r>
      <w:r>
        <w:rPr>
          <w:rFonts w:ascii="宋体" w:hAnsi="宋体" w:cs="宋体"/>
          <w:color w:val="000000"/>
          <w:sz w:val="19"/>
          <w:lang w:eastAsia="zh-CN"/>
        </w:rPr>
        <w:t>5</w:t>
      </w:r>
      <w:r>
        <w:rPr>
          <w:rFonts w:ascii="宋体" w:hAnsi="宋体" w:cs="宋体"/>
          <w:color w:val="000000"/>
          <w:sz w:val="19"/>
          <w:lang w:eastAsia="zh-CN"/>
        </w:rPr>
        <w:t>年获得国家自然科学基金面上项目、重大研究计划项目、青年科学基金项目资助的项目第</w:t>
      </w:r>
    </w:p>
    <w:p w:rsidR="00E37845" w:rsidRDefault="00E22BDD">
      <w:pPr>
        <w:pStyle w:val="Normal2"/>
        <w:framePr w:w="11217" w:wrap="around" w:hAnchor="text" w:x="6072" w:y="7945"/>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一负责人（项目已通过结题验收），获得中国博士后科学基金资助的出站留（来）穗博士后，广东省自然科学杰出青</w:t>
      </w:r>
    </w:p>
    <w:p w:rsidR="00E37845" w:rsidRDefault="00E22BDD">
      <w:pPr>
        <w:pStyle w:val="Normal2"/>
        <w:framePr w:w="11217" w:wrap="around" w:hAnchor="text" w:x="6072" w:y="7945"/>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年基金资助项目获得者（项目已通过结题验收）等</w:t>
      </w:r>
    </w:p>
    <w:p w:rsidR="00E37845" w:rsidRDefault="00E37845">
      <w:pPr>
        <w:pStyle w:val="Normal2"/>
        <w:spacing w:line="0" w:lineRule="atLeast"/>
        <w:jc w:val="left"/>
        <w:rPr>
          <w:rFonts w:ascii="Times New Roman" w:eastAsia="Times New Roman" w:hAnsi="Times New Roman"/>
          <w:sz w:val="20"/>
          <w:lang w:val="en-US" w:eastAsia="zh-CN"/>
        </w:rPr>
      </w:pPr>
    </w:p>
    <w:p w:rsidR="00E37845" w:rsidRDefault="00E37845">
      <w:pPr>
        <w:pStyle w:val="Normal2"/>
        <w:spacing w:line="0" w:lineRule="atLeast"/>
        <w:jc w:val="left"/>
        <w:rPr>
          <w:rFonts w:ascii="Times New Roman" w:eastAsia="Times New Roman" w:hAnsi="Times New Roman"/>
          <w:sz w:val="20"/>
          <w:lang w:val="en-US" w:eastAsia="zh-CN"/>
        </w:rPr>
      </w:pPr>
    </w:p>
    <w:p w:rsidR="00E37845" w:rsidRDefault="00E37845">
      <w:pPr>
        <w:pStyle w:val="Normal2"/>
        <w:spacing w:line="0" w:lineRule="atLeast"/>
        <w:jc w:val="left"/>
        <w:rPr>
          <w:rFonts w:ascii="Times New Roman" w:eastAsia="Times New Roman" w:hAnsi="Times New Roman"/>
          <w:sz w:val="20"/>
          <w:lang w:val="en-US" w:eastAsia="zh-CN"/>
        </w:rPr>
      </w:pPr>
    </w:p>
    <w:p w:rsidR="00E37845" w:rsidRDefault="00E37845">
      <w:pPr>
        <w:pStyle w:val="Normal2"/>
        <w:spacing w:line="0" w:lineRule="atLeast"/>
        <w:jc w:val="left"/>
        <w:rPr>
          <w:rFonts w:ascii="Times New Roman" w:eastAsia="Times New Roman" w:hAnsi="Times New Roman"/>
          <w:sz w:val="20"/>
          <w:lang w:val="en-US" w:eastAsia="zh-CN"/>
        </w:rPr>
      </w:pPr>
    </w:p>
    <w:p w:rsidR="00E37845" w:rsidRDefault="001B499F">
      <w:pPr>
        <w:pStyle w:val="Normal2"/>
        <w:spacing w:line="0" w:lineRule="atLeast"/>
        <w:jc w:val="left"/>
        <w:rPr>
          <w:rFonts w:ascii="Times New Roman" w:eastAsia="Times New Roman" w:hAnsi="Times New Roman"/>
          <w:sz w:val="20"/>
          <w:lang w:val="en-US" w:eastAsia="zh-CN"/>
        </w:rPr>
      </w:pPr>
      <w:r>
        <w:rPr>
          <w:sz w:val="20"/>
        </w:rPr>
        <w:pict>
          <v:shape id="_x0000_s1090" type="#_x0000_t202" style="position:absolute;margin-left:182.9pt;margin-top:12.5pt;width:105.95pt;height:25.3pt;z-index:251677184;mso-width-relative:page;mso-height-relative:page" o:gfxdata="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KW3A9cA&#10;AAAJAQAADwAAAAAAAAABACAAAAAiAAAAZHJzL2Rvd25yZXYueG1sUEsBAhQAFAAAAAgAh07iQBmq&#10;8J+uAQAAMwMAAA4AAAAAAAAAAQAgAAAAJgEAAGRycy9lMm9Eb2MueG1sUEsFBgAAAAAGAAYAWQEA&#10;AEYFAAAAAA==&#10;" stroked="f">
            <v:textbox>
              <w:txbxContent>
                <w:p w:rsidR="00E37845" w:rsidRDefault="00E22BDD">
                  <w:pPr>
                    <w:jc w:val="center"/>
                  </w:pPr>
                  <w:r>
                    <w:rPr>
                      <w:rFonts w:hint="eastAsia"/>
                    </w:rPr>
                    <w:t>省人社厅</w:t>
                  </w:r>
                </w:p>
              </w:txbxContent>
            </v:textbox>
          </v:shape>
        </w:pict>
      </w:r>
    </w:p>
    <w:p w:rsidR="00E37845" w:rsidRDefault="00E37845">
      <w:pPr>
        <w:pStyle w:val="Normal2"/>
        <w:spacing w:line="0" w:lineRule="atLeast"/>
        <w:jc w:val="left"/>
        <w:rPr>
          <w:rFonts w:ascii="Times New Roman" w:eastAsia="Times New Roman" w:hAnsi="Times New Roman"/>
          <w:sz w:val="20"/>
          <w:lang w:val="en-US" w:eastAsia="zh-CN"/>
        </w:rPr>
      </w:pPr>
    </w:p>
    <w:p w:rsidR="00E37845" w:rsidRDefault="00E22BDD">
      <w:pPr>
        <w:pStyle w:val="Normal2"/>
        <w:framePr w:w="11108" w:wrap="around" w:hAnchor="page" w:x="6034" w:y="3028"/>
        <w:widowControl w:val="0"/>
        <w:autoSpaceDE w:val="0"/>
        <w:autoSpaceDN w:val="0"/>
        <w:adjustRightInd w:val="0"/>
        <w:spacing w:before="0" w:after="0" w:line="189" w:lineRule="exact"/>
        <w:jc w:val="left"/>
        <w:rPr>
          <w:rFonts w:ascii="宋体" w:hAnsi="宋体" w:cs="宋体"/>
          <w:color w:val="000000"/>
          <w:sz w:val="19"/>
          <w:lang w:eastAsia="zh-CN"/>
        </w:rPr>
      </w:pPr>
      <w:r>
        <w:rPr>
          <w:rFonts w:ascii="黑体" w:hAnsi="黑体" w:cs="黑体"/>
          <w:color w:val="000000"/>
          <w:sz w:val="19"/>
          <w:lang w:eastAsia="zh-CN"/>
        </w:rPr>
        <w:t>国务院政府特殊津贴</w:t>
      </w:r>
      <w:r>
        <w:rPr>
          <w:rFonts w:ascii="宋体" w:hAnsi="宋体" w:cs="宋体"/>
          <w:color w:val="000000"/>
          <w:sz w:val="19"/>
          <w:lang w:eastAsia="zh-CN"/>
        </w:rPr>
        <w:t>是中华人民共和国国务院对于高层次专业技术人才和高技能人才的一种奖励制度。获得者被称为</w:t>
      </w:r>
    </w:p>
    <w:p w:rsidR="00E37845" w:rsidRDefault="00E22BDD">
      <w:pPr>
        <w:pStyle w:val="Normal2"/>
        <w:framePr w:w="11108" w:wrap="around" w:hAnchor="page" w:x="6034" w:y="3028"/>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享受国务院特殊津贴专家。每两年选拔一次，享受政府特殊津贴人员必须从在专业技术岗位和高技能工作岗位上工作</w:t>
      </w:r>
    </w:p>
    <w:p w:rsidR="00E37845" w:rsidRDefault="00E22BDD">
      <w:pPr>
        <w:pStyle w:val="Normal2"/>
        <w:framePr w:w="11108" w:wrap="around" w:hAnchor="page" w:x="6034" w:y="3028"/>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的在职人员中选拔，且应注重推荐那些长期辛勤工作，在专业技术和高技能工作岗位上取得突出业绩，做出重要贡献</w:t>
      </w:r>
    </w:p>
    <w:p w:rsidR="00E37845" w:rsidRDefault="00E22BDD">
      <w:pPr>
        <w:pStyle w:val="Normal2"/>
        <w:framePr w:w="11108" w:wrap="around" w:hAnchor="page" w:x="6034" w:y="3028"/>
        <w:widowControl w:val="0"/>
        <w:autoSpaceDE w:val="0"/>
        <w:autoSpaceDN w:val="0"/>
        <w:adjustRightInd w:val="0"/>
        <w:spacing w:before="0" w:after="0" w:line="218" w:lineRule="exact"/>
        <w:jc w:val="left"/>
        <w:rPr>
          <w:rFonts w:ascii="宋体" w:hAnsi="宋体" w:cs="宋体"/>
          <w:color w:val="000000"/>
          <w:sz w:val="19"/>
          <w:lang w:eastAsia="zh-CN"/>
        </w:rPr>
      </w:pPr>
      <w:r>
        <w:rPr>
          <w:rFonts w:ascii="宋体" w:hAnsi="宋体" w:cs="宋体"/>
          <w:color w:val="000000"/>
          <w:sz w:val="19"/>
          <w:lang w:eastAsia="zh-CN"/>
        </w:rPr>
        <w:t>，其业绩、成果和贡献为同行和社会认可的专业技术人才、高技能人才。</w:t>
      </w:r>
    </w:p>
    <w:p w:rsidR="00E37845" w:rsidRDefault="00E37845">
      <w:pPr>
        <w:pStyle w:val="Normal2"/>
        <w:spacing w:line="0" w:lineRule="atLeast"/>
        <w:jc w:val="left"/>
        <w:rPr>
          <w:rFonts w:ascii="Times New Roman" w:eastAsia="Times New Roman" w:hAnsi="Times New Roman"/>
          <w:sz w:val="20"/>
          <w:lang w:val="en-US" w:eastAsia="zh-CN"/>
        </w:rPr>
      </w:pPr>
    </w:p>
    <w:p w:rsidR="00E37845" w:rsidRDefault="00E37845">
      <w:pPr>
        <w:pStyle w:val="Normal2"/>
        <w:spacing w:line="0" w:lineRule="atLeast"/>
        <w:jc w:val="left"/>
        <w:rPr>
          <w:rFonts w:ascii="Times New Roman" w:eastAsia="Times New Roman" w:hAnsi="Times New Roman"/>
          <w:sz w:val="20"/>
          <w:lang w:val="en-US" w:eastAsia="zh-CN"/>
        </w:rPr>
      </w:pPr>
    </w:p>
    <w:p w:rsidR="00E37845" w:rsidRDefault="00E37845">
      <w:pPr>
        <w:pStyle w:val="Normal2"/>
        <w:spacing w:line="0" w:lineRule="atLeast"/>
        <w:jc w:val="left"/>
        <w:rPr>
          <w:rFonts w:ascii="Times New Roman" w:eastAsia="Times New Roman" w:hAnsi="Times New Roman"/>
          <w:sz w:val="20"/>
          <w:lang w:val="en-US" w:eastAsia="zh-CN"/>
        </w:rPr>
      </w:pPr>
    </w:p>
    <w:p w:rsidR="00E37845" w:rsidRDefault="00E37845">
      <w:pPr>
        <w:pStyle w:val="Normal2"/>
        <w:spacing w:line="0" w:lineRule="atLeast"/>
        <w:jc w:val="left"/>
        <w:rPr>
          <w:rFonts w:ascii="Times New Roman" w:eastAsia="Times New Roman" w:hAnsi="Times New Roman"/>
          <w:sz w:val="20"/>
          <w:lang w:val="en-US" w:eastAsia="zh-CN"/>
        </w:rPr>
      </w:pPr>
    </w:p>
    <w:p w:rsidR="00E37845" w:rsidRDefault="00E37845">
      <w:pPr>
        <w:pStyle w:val="Normal2"/>
        <w:spacing w:line="0" w:lineRule="atLeast"/>
        <w:jc w:val="left"/>
        <w:rPr>
          <w:rFonts w:ascii="Times New Roman" w:eastAsia="Times New Roman" w:hAnsi="Times New Roman"/>
          <w:sz w:val="20"/>
          <w:lang w:val="en-US" w:eastAsia="zh-CN"/>
        </w:rPr>
      </w:pPr>
    </w:p>
    <w:p w:rsidR="00E37845" w:rsidRDefault="00E37845">
      <w:pPr>
        <w:pStyle w:val="Normal2"/>
        <w:spacing w:line="0" w:lineRule="atLeast"/>
        <w:jc w:val="left"/>
        <w:rPr>
          <w:rFonts w:ascii="Times New Roman" w:eastAsia="Times New Roman" w:hAnsi="Times New Roman"/>
          <w:sz w:val="20"/>
          <w:lang w:val="en-US" w:eastAsia="zh-CN"/>
        </w:rPr>
      </w:pPr>
    </w:p>
    <w:p w:rsidR="00E37845" w:rsidRDefault="00E37845">
      <w:pPr>
        <w:pStyle w:val="Normal2"/>
        <w:spacing w:line="0" w:lineRule="atLeast"/>
        <w:jc w:val="left"/>
        <w:rPr>
          <w:rFonts w:ascii="Times New Roman" w:eastAsia="Times New Roman" w:hAnsi="Times New Roman"/>
          <w:sz w:val="20"/>
          <w:lang w:val="en-US" w:eastAsia="zh-CN"/>
        </w:rPr>
      </w:pPr>
    </w:p>
    <w:p w:rsidR="00E37845" w:rsidRDefault="00E37845">
      <w:pPr>
        <w:pStyle w:val="Normal2"/>
        <w:spacing w:line="0" w:lineRule="atLeast"/>
        <w:jc w:val="left"/>
        <w:rPr>
          <w:rFonts w:ascii="Times New Roman" w:eastAsia="Times New Roman" w:hAnsi="Times New Roman"/>
          <w:sz w:val="20"/>
          <w:lang w:val="en-US" w:eastAsia="zh-CN"/>
        </w:rPr>
      </w:pPr>
    </w:p>
    <w:p w:rsidR="00E37845" w:rsidRDefault="00E37845">
      <w:pPr>
        <w:pStyle w:val="Normal2"/>
        <w:spacing w:line="0" w:lineRule="atLeast"/>
        <w:jc w:val="left"/>
        <w:rPr>
          <w:rFonts w:ascii="Times New Roman" w:eastAsia="Times New Roman" w:hAnsi="Times New Roman"/>
          <w:sz w:val="20"/>
          <w:lang w:val="en-US" w:eastAsia="zh-CN"/>
        </w:rPr>
      </w:pPr>
    </w:p>
    <w:p w:rsidR="00E37845" w:rsidRDefault="00E37845">
      <w:pPr>
        <w:pStyle w:val="Normal2"/>
        <w:spacing w:line="0" w:lineRule="atLeast"/>
        <w:jc w:val="left"/>
        <w:rPr>
          <w:rFonts w:ascii="Times New Roman" w:eastAsia="Times New Roman" w:hAnsi="Times New Roman"/>
          <w:sz w:val="20"/>
          <w:lang w:val="en-US" w:eastAsia="zh-CN"/>
        </w:rPr>
      </w:pPr>
    </w:p>
    <w:p w:rsidR="00E37845" w:rsidRDefault="00E37845">
      <w:pPr>
        <w:pStyle w:val="Normal2"/>
        <w:spacing w:line="0" w:lineRule="atLeast"/>
        <w:jc w:val="left"/>
        <w:rPr>
          <w:rFonts w:ascii="Times New Roman" w:eastAsia="Times New Roman" w:hAnsi="Times New Roman"/>
          <w:sz w:val="20"/>
          <w:lang w:val="en-US" w:eastAsia="zh-CN"/>
        </w:rPr>
      </w:pPr>
    </w:p>
    <w:p w:rsidR="00E37845" w:rsidRDefault="00E37845">
      <w:pPr>
        <w:pStyle w:val="Normal2"/>
        <w:spacing w:line="0" w:lineRule="atLeast"/>
        <w:jc w:val="left"/>
        <w:rPr>
          <w:rFonts w:ascii="Times New Roman" w:eastAsia="Times New Roman" w:hAnsi="Times New Roman"/>
          <w:sz w:val="20"/>
          <w:lang w:val="en-US" w:eastAsia="zh-CN"/>
        </w:rPr>
      </w:pPr>
    </w:p>
    <w:p w:rsidR="00E37845" w:rsidRDefault="00E37845">
      <w:pPr>
        <w:pStyle w:val="Normal2"/>
        <w:spacing w:line="0" w:lineRule="atLeast"/>
        <w:jc w:val="left"/>
        <w:rPr>
          <w:rFonts w:ascii="Times New Roman" w:eastAsia="Times New Roman" w:hAnsi="Times New Roman"/>
          <w:sz w:val="20"/>
          <w:lang w:val="en-US" w:eastAsia="zh-CN"/>
        </w:rPr>
      </w:pPr>
    </w:p>
    <w:p w:rsidR="00E37845" w:rsidRDefault="00E37845">
      <w:pPr>
        <w:pStyle w:val="Normal2"/>
        <w:spacing w:line="0" w:lineRule="atLeast"/>
        <w:jc w:val="left"/>
        <w:rPr>
          <w:rFonts w:ascii="Times New Roman" w:eastAsia="Times New Roman" w:hAnsi="Times New Roman"/>
          <w:sz w:val="20"/>
          <w:lang w:val="en-US" w:eastAsia="zh-CN"/>
        </w:rPr>
      </w:pPr>
    </w:p>
    <w:p w:rsidR="00E37845" w:rsidRDefault="00E37845">
      <w:pPr>
        <w:pStyle w:val="Normal2"/>
        <w:spacing w:line="0" w:lineRule="atLeast"/>
        <w:jc w:val="left"/>
        <w:rPr>
          <w:rFonts w:ascii="Times New Roman" w:eastAsia="Times New Roman" w:hAnsi="Times New Roman"/>
          <w:sz w:val="20"/>
          <w:lang w:val="en-US" w:eastAsia="zh-CN"/>
        </w:rPr>
      </w:pPr>
    </w:p>
    <w:p w:rsidR="00E37845" w:rsidRDefault="00E37845">
      <w:pPr>
        <w:pStyle w:val="Normal2"/>
        <w:spacing w:line="0" w:lineRule="atLeast"/>
        <w:jc w:val="left"/>
        <w:rPr>
          <w:rFonts w:ascii="Times New Roman" w:eastAsia="Times New Roman" w:hAnsi="Times New Roman"/>
          <w:sz w:val="20"/>
          <w:lang w:val="en-US" w:eastAsia="zh-CN"/>
        </w:rPr>
      </w:pPr>
    </w:p>
    <w:p w:rsidR="00E37845" w:rsidRDefault="00E37845">
      <w:pPr>
        <w:pStyle w:val="Normal2"/>
        <w:spacing w:line="0" w:lineRule="atLeast"/>
        <w:jc w:val="left"/>
        <w:rPr>
          <w:rFonts w:ascii="Times New Roman" w:eastAsia="Times New Roman" w:hAnsi="Times New Roman"/>
          <w:sz w:val="20"/>
          <w:lang w:val="en-US" w:eastAsia="zh-CN"/>
        </w:rPr>
      </w:pPr>
    </w:p>
    <w:p w:rsidR="00E37845" w:rsidRDefault="00E22BDD">
      <w:pPr>
        <w:pStyle w:val="Normal2"/>
        <w:spacing w:line="0" w:lineRule="atLeast"/>
        <w:jc w:val="left"/>
        <w:rPr>
          <w:rFonts w:ascii="Times New Roman" w:eastAsia="Times New Roman" w:hAnsi="Times New Roman"/>
          <w:sz w:val="20"/>
          <w:lang w:val="en-US" w:eastAsia="zh-CN"/>
        </w:rPr>
        <w:sectPr w:rsidR="00E37845">
          <w:pgSz w:w="16840" w:h="11910" w:orient="landscape"/>
          <w:pgMar w:top="1" w:right="1" w:bottom="1" w:left="1" w:header="720" w:footer="720" w:gutter="0"/>
          <w:cols w:space="720"/>
          <w:docGrid w:type="lines" w:linePitch="312"/>
        </w:sectPr>
      </w:pPr>
      <w:r>
        <w:rPr>
          <w:noProof/>
          <w:lang w:val="en-US" w:eastAsia="zh-CN"/>
        </w:rPr>
        <w:drawing>
          <wp:anchor distT="0" distB="0" distL="114300" distR="114300" simplePos="0" relativeHeight="251623936" behindDoc="1" locked="1" layoutInCell="1" allowOverlap="1">
            <wp:simplePos x="0" y="0"/>
            <wp:positionH relativeFrom="page">
              <wp:posOffset>822960</wp:posOffset>
            </wp:positionH>
            <wp:positionV relativeFrom="page">
              <wp:posOffset>906780</wp:posOffset>
            </wp:positionV>
            <wp:extent cx="10088880" cy="4538980"/>
            <wp:effectExtent l="0" t="0" r="7620" b="13970"/>
            <wp:wrapNone/>
            <wp:docPr id="2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2"/>
                    <pic:cNvPicPr>
                      <a:picLocks noChangeAspect="1"/>
                    </pic:cNvPicPr>
                  </pic:nvPicPr>
                  <pic:blipFill>
                    <a:blip r:embed="rId21" cstate="print"/>
                    <a:stretch>
                      <a:fillRect/>
                    </a:stretch>
                  </pic:blipFill>
                  <pic:spPr>
                    <a:xfrm>
                      <a:off x="0" y="0"/>
                      <a:ext cx="10088880" cy="4538980"/>
                    </a:xfrm>
                    <a:prstGeom prst="rect">
                      <a:avLst/>
                    </a:prstGeom>
                    <a:noFill/>
                    <a:ln w="9525">
                      <a:noFill/>
                    </a:ln>
                  </pic:spPr>
                </pic:pic>
              </a:graphicData>
            </a:graphic>
          </wp:anchor>
        </w:drawing>
      </w:r>
      <w:bookmarkStart w:id="1260" w:name="br1_2"/>
      <w:bookmarkEnd w:id="1260"/>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261" w:name="_Toc21295"/>
      <w:bookmarkStart w:id="1262" w:name="_Toc705"/>
      <w:bookmarkStart w:id="1263" w:name="_Toc13623"/>
      <w:bookmarkStart w:id="1264" w:name="_Toc18838"/>
      <w:bookmarkStart w:id="1265" w:name="_Toc12399"/>
      <w:bookmarkStart w:id="1266" w:name="_Toc13044"/>
      <w:bookmarkStart w:id="1267" w:name="_Toc17418"/>
      <w:bookmarkStart w:id="1268" w:name="_Toc26252"/>
      <w:bookmarkStart w:id="1269" w:name="_Toc14663"/>
      <w:bookmarkStart w:id="1270" w:name="_Toc19418"/>
      <w:bookmarkStart w:id="1271" w:name="_Toc25663"/>
      <w:bookmarkStart w:id="1272" w:name="_Toc22226"/>
      <w:bookmarkStart w:id="1273" w:name="_Toc22513"/>
      <w:bookmarkStart w:id="1274" w:name="_Toc519780972"/>
      <w:bookmarkStart w:id="1275" w:name="_Toc18343"/>
      <w:bookmarkStart w:id="1276" w:name="_Toc18585"/>
      <w:bookmarkStart w:id="1277" w:name="_Toc6567"/>
      <w:bookmarkStart w:id="1278" w:name="_Toc3404"/>
      <w:bookmarkStart w:id="1279" w:name="_Toc1200"/>
      <w:bookmarkStart w:id="1280" w:name="_Toc28002"/>
      <w:bookmarkStart w:id="1281" w:name="_Toc11690"/>
      <w:bookmarkStart w:id="1282" w:name="_Toc28292"/>
      <w:bookmarkStart w:id="1283" w:name="_Toc9687"/>
      <w:bookmarkStart w:id="1284" w:name="_Toc8356"/>
      <w:bookmarkStart w:id="1285" w:name="_Toc23927"/>
      <w:bookmarkStart w:id="1286" w:name="_Toc13033"/>
      <w:bookmarkStart w:id="1287" w:name="_Toc376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r>
        <w:rPr>
          <w:rFonts w:ascii="黑体" w:eastAsia="黑体" w:hAnsi="黑体" w:cs="黑体" w:hint="eastAsia"/>
          <w:color w:val="000000" w:themeColor="text1"/>
          <w:sz w:val="28"/>
          <w:szCs w:val="28"/>
        </w:rPr>
        <w:lastRenderedPageBreak/>
        <w:t>4.11校内人才计划</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r>
        <w:rPr>
          <w:rFonts w:ascii="黑体" w:eastAsia="黑体" w:hAnsi="黑体" w:cs="黑体" w:hint="eastAsia"/>
          <w:color w:val="000000" w:themeColor="text1"/>
          <w:sz w:val="28"/>
          <w:szCs w:val="28"/>
        </w:rPr>
        <w:t>（详见《教师特聘岗位实施细则》）</w:t>
      </w:r>
      <w:bookmarkEnd w:id="1281"/>
      <w:bookmarkEnd w:id="1282"/>
      <w:bookmarkEnd w:id="1283"/>
      <w:bookmarkEnd w:id="1284"/>
      <w:bookmarkEnd w:id="1285"/>
      <w:bookmarkEnd w:id="1286"/>
      <w:bookmarkEnd w:id="1287"/>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教师特聘岗位包括</w:t>
      </w:r>
      <w:r>
        <w:rPr>
          <w:rFonts w:ascii="仿宋_GB2312" w:eastAsia="仿宋_GB2312" w:hAnsi="仿宋_GB2312" w:cs="仿宋_GB2312" w:hint="eastAsia"/>
          <w:color w:val="000000" w:themeColor="text1"/>
          <w:kern w:val="0"/>
          <w:sz w:val="24"/>
          <w:szCs w:val="24"/>
        </w:rPr>
        <w:t>广州学者岗和广州良师岗两</w:t>
      </w:r>
      <w:r>
        <w:rPr>
          <w:rFonts w:ascii="仿宋_GB2312" w:eastAsia="仿宋_GB2312" w:hAnsi="仿宋_GB2312" w:cs="仿宋_GB2312" w:hint="eastAsia"/>
          <w:color w:val="000000" w:themeColor="text1"/>
          <w:sz w:val="24"/>
          <w:szCs w:val="24"/>
        </w:rPr>
        <w:t>个类别，各类别岗位数量由学校根据教师队伍的实际情况统一设置。</w:t>
      </w:r>
      <w:r>
        <w:rPr>
          <w:rFonts w:ascii="仿宋_GB2312" w:eastAsia="仿宋_GB2312" w:hAnsi="仿宋_GB2312" w:cs="仿宋_GB2312" w:hint="eastAsia"/>
          <w:color w:val="000000" w:themeColor="text1"/>
          <w:kern w:val="0"/>
          <w:sz w:val="24"/>
          <w:szCs w:val="24"/>
        </w:rPr>
        <w:t>广州学者岗和广州良师岗</w:t>
      </w:r>
      <w:r>
        <w:rPr>
          <w:rFonts w:ascii="仿宋_GB2312" w:eastAsia="仿宋_GB2312" w:hAnsi="仿宋_GB2312" w:cs="仿宋_GB2312" w:hint="eastAsia"/>
          <w:color w:val="000000" w:themeColor="text1"/>
          <w:sz w:val="24"/>
          <w:szCs w:val="24"/>
        </w:rPr>
        <w:t>每个聘期为</w:t>
      </w:r>
      <w:r>
        <w:rPr>
          <w:rFonts w:ascii="仿宋_GB2312" w:eastAsia="仿宋_GB2312" w:hAnsi="仿宋_GB2312" w:cs="仿宋_GB2312"/>
          <w:color w:val="000000" w:themeColor="text1"/>
          <w:sz w:val="24"/>
          <w:szCs w:val="24"/>
        </w:rPr>
        <w:t>3年。</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288" w:name="_Toc14889"/>
      <w:bookmarkStart w:id="1289" w:name="_Toc115"/>
      <w:bookmarkStart w:id="1290" w:name="_Toc14537"/>
      <w:bookmarkStart w:id="1291" w:name="_Toc1785"/>
      <w:bookmarkStart w:id="1292" w:name="_Toc10182"/>
      <w:bookmarkStart w:id="1293" w:name="_Toc17771"/>
      <w:bookmarkStart w:id="1294" w:name="_Toc18726"/>
      <w:bookmarkStart w:id="1295" w:name="_Toc519780973"/>
      <w:bookmarkStart w:id="1296" w:name="_Toc28130"/>
      <w:bookmarkStart w:id="1297" w:name="_Toc32080"/>
      <w:bookmarkStart w:id="1298" w:name="_Toc12569"/>
      <w:bookmarkStart w:id="1299" w:name="_Toc9914"/>
      <w:bookmarkStart w:id="1300" w:name="_Toc7298"/>
      <w:bookmarkStart w:id="1301" w:name="_Toc15243"/>
      <w:bookmarkStart w:id="1302" w:name="_Toc26727"/>
      <w:bookmarkStart w:id="1303" w:name="_Toc17407"/>
      <w:bookmarkStart w:id="1304" w:name="_Toc27211"/>
      <w:bookmarkStart w:id="1305" w:name="_Toc20268"/>
      <w:bookmarkStart w:id="1306" w:name="_Toc8977"/>
      <w:bookmarkStart w:id="1307" w:name="_Toc20487"/>
      <w:bookmarkStart w:id="1308" w:name="_Toc16944"/>
      <w:bookmarkStart w:id="1309" w:name="_Toc32028"/>
      <w:bookmarkStart w:id="1310" w:name="_Toc5893"/>
      <w:bookmarkStart w:id="1311" w:name="_Toc29189"/>
      <w:bookmarkStart w:id="1312" w:name="_Toc6805"/>
      <w:bookmarkStart w:id="1313" w:name="_Toc22825"/>
      <w:bookmarkStart w:id="1314" w:name="_Toc31246"/>
      <w:bookmarkStart w:id="1315" w:name="_Toc28820"/>
      <w:bookmarkStart w:id="1316" w:name="_Toc20230"/>
      <w:bookmarkStart w:id="1317" w:name="_Toc32342"/>
      <w:r>
        <w:rPr>
          <w:rFonts w:ascii="黑体" w:eastAsia="黑体" w:hAnsi="黑体" w:cs="黑体" w:hint="eastAsia"/>
          <w:color w:val="000000" w:themeColor="text1"/>
          <w:sz w:val="28"/>
          <w:szCs w:val="28"/>
        </w:rPr>
        <w:t>4.11.1</w:t>
      </w:r>
      <w:bookmarkEnd w:id="1288"/>
      <w:r>
        <w:rPr>
          <w:rFonts w:ascii="黑体" w:eastAsia="黑体" w:hAnsi="黑体" w:cs="黑体" w:hint="eastAsia"/>
          <w:color w:val="000000" w:themeColor="text1"/>
          <w:sz w:val="28"/>
          <w:szCs w:val="28"/>
        </w:rPr>
        <w:t>广州学者岗</w:t>
      </w:r>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rsidR="00E37845" w:rsidRDefault="00E22BDD">
      <w:pPr>
        <w:adjustRightInd w:val="0"/>
        <w:snapToGrid w:val="0"/>
        <w:spacing w:line="336"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一、聘用条件</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广州学者岗包括卓越特聘教授、特聘教授和青年拔尖人才三个层次。其中，卓越特聘教授分为院士和领军人才两档，特聘教授分为</w:t>
      </w:r>
      <w:r>
        <w:rPr>
          <w:rFonts w:ascii="仿宋_GB2312" w:eastAsia="仿宋_GB2312" w:hAnsi="仿宋_GB2312" w:cs="仿宋_GB2312"/>
          <w:color w:val="000000" w:themeColor="text1"/>
          <w:sz w:val="24"/>
          <w:szCs w:val="24"/>
        </w:rPr>
        <w:t>A、B、C三档。广州学者面向在职在编教师申报。申报人应恪守高校教师职业道德规范，学风端正，有敬业精神、团队协作精神和国际合作与交流能力，热爱高校教学工作，完成学校规定的本科教学要求，具有高质量承担所在学科专业基础课或专业核心课程的能力，学术水平达到下列基本条件.</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卓越特聘教授。</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1）院士（全职）。包括中国科学院院士和中国工程院院士。（2）领军人才。在教学、科研、学科建设、队伍发展中起引领作用，包括国家千人计划入选者（长期）、“国家特支计划”杰出人才和领军人才、长江学者特聘教授、国家杰出青年基金获得者、“广东省特支计划”杰出人才、国家自然科学基金创新群体负责人等，以及有卓越学术成就的人文社会学科学者和其他在学术地位、水平和成就方面与此相当的海内外有重要影响的学者。</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特聘教授。</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1）特聘教授A档。在教学、科研、学科建设、队伍发展中起引领作用，包括国家千人计划入选者（青年）、国家优秀青年科学基金项目获得者、青年长江学者、珠江学者特聘教授、“珠江人才计划”带头人和领军人才、“广东省特支计划”领军人才、“国家特支计划”青年拔尖人才、教育部创新团队负责人等，以及在某二级或以上学科具有突出学术地位和影响力，并具有持续发展潜力的学者。（2）特聘</w:t>
      </w:r>
      <w:r>
        <w:rPr>
          <w:rFonts w:ascii="仿宋_GB2312" w:eastAsia="仿宋_GB2312" w:hAnsi="仿宋_GB2312" w:cs="仿宋_GB2312" w:hint="eastAsia"/>
          <w:color w:val="000000" w:themeColor="text1"/>
          <w:sz w:val="24"/>
          <w:szCs w:val="24"/>
        </w:rPr>
        <w:t>教授</w:t>
      </w:r>
      <w:r>
        <w:rPr>
          <w:rFonts w:ascii="仿宋_GB2312" w:eastAsia="仿宋_GB2312" w:hAnsi="仿宋_GB2312" w:cs="仿宋_GB2312"/>
          <w:color w:val="000000" w:themeColor="text1"/>
          <w:sz w:val="24"/>
          <w:szCs w:val="24"/>
        </w:rPr>
        <w:t>B档。在教学、科研、学科建设、队伍发展中有持续的创新能力，在某一学科领域有突出的科研成果，形成较大影响力、有持续发展潜力的学者。（3）特聘教授C档。在教学、科研、学科建设、队伍发展中有持续的创新能力，在某一学科领域有重要的科研成果，形成一定影响力、有持续发展潜力的学者。</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青年拔尖人才。</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1.具有博士学位的在岗教师，自然科学类、工程技术类人选年龄一般不超过</w:t>
      </w:r>
      <w:r>
        <w:rPr>
          <w:rFonts w:ascii="仿宋_GB2312" w:eastAsia="仿宋_GB2312" w:hAnsi="仿宋_GB2312" w:cs="仿宋_GB2312"/>
          <w:color w:val="000000" w:themeColor="text1"/>
          <w:sz w:val="24"/>
          <w:szCs w:val="24"/>
        </w:rPr>
        <w:t>35周岁，人文社会科学人选不超过38周岁。成果特别突出的，年龄可放宽到40周岁以内。</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2.具有高尚的师德和强烈的事业心，工作严谨，协作精神好。</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3.在学术研究方面有创新性构想，具有明确的科研方向和独立开展科研工作的能</w:t>
      </w:r>
      <w:r>
        <w:rPr>
          <w:rFonts w:ascii="仿宋_GB2312" w:eastAsia="仿宋_GB2312" w:hAnsi="仿宋_GB2312" w:cs="仿宋_GB2312" w:hint="eastAsia"/>
          <w:color w:val="000000" w:themeColor="text1"/>
          <w:sz w:val="24"/>
          <w:szCs w:val="24"/>
        </w:rPr>
        <w:lastRenderedPageBreak/>
        <w:t>力，具有扎实的科研基础和突出的研究成果。满足下列基本条件之一</w:t>
      </w:r>
      <w:r>
        <w:rPr>
          <w:rFonts w:ascii="仿宋_GB2312" w:eastAsia="仿宋_GB2312" w:hAnsi="仿宋_GB2312" w:cs="仿宋_GB2312"/>
          <w:color w:val="000000" w:themeColor="text1"/>
          <w:sz w:val="24"/>
          <w:szCs w:val="24"/>
        </w:rPr>
        <w:t>.</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（1）在自然科学、工程技术相关领域，申请人作为主要作者（第一或通讯作者）在</w:t>
      </w:r>
      <w:r>
        <w:rPr>
          <w:rFonts w:ascii="仿宋_GB2312" w:eastAsia="仿宋_GB2312" w:hAnsi="仿宋_GB2312" w:cs="仿宋_GB2312"/>
          <w:color w:val="000000" w:themeColor="text1"/>
          <w:sz w:val="24"/>
          <w:szCs w:val="24"/>
        </w:rPr>
        <w:t>JCR－SCI期刊分区表一区二</w:t>
      </w:r>
      <w:r>
        <w:rPr>
          <w:rFonts w:ascii="仿宋_GB2312" w:eastAsia="仿宋_GB2312" w:hAnsi="仿宋_GB2312" w:cs="仿宋_GB2312" w:hint="eastAsia"/>
          <w:color w:val="000000" w:themeColor="text1"/>
          <w:sz w:val="24"/>
          <w:szCs w:val="24"/>
        </w:rPr>
        <w:t>区发表</w:t>
      </w:r>
      <w:r>
        <w:rPr>
          <w:rFonts w:ascii="仿宋_GB2312" w:eastAsia="仿宋_GB2312" w:hAnsi="仿宋_GB2312" w:cs="仿宋_GB2312"/>
          <w:color w:val="000000" w:themeColor="text1"/>
          <w:sz w:val="24"/>
          <w:szCs w:val="24"/>
        </w:rPr>
        <w:t>2篇以上论文，并主持国家级项目。</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（2）在人文社会学科相关领域，申请人作为主要作者（第一或通讯作者）连续在所属一级学科（及交叉学科）的权威杂志发表</w:t>
      </w:r>
      <w:r>
        <w:rPr>
          <w:rFonts w:ascii="仿宋_GB2312" w:eastAsia="仿宋_GB2312" w:hAnsi="仿宋_GB2312" w:cs="仿宋_GB2312"/>
          <w:color w:val="000000" w:themeColor="text1"/>
          <w:sz w:val="24"/>
          <w:szCs w:val="24"/>
        </w:rPr>
        <w:t>2篇以上高质量的论文，或出版本领域具有较大国际学术影响的专著，并主持省部级以上项目。</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（3）</w:t>
      </w:r>
      <w:r>
        <w:rPr>
          <w:rFonts w:ascii="仿宋_GB2312" w:eastAsia="仿宋_GB2312" w:hAnsi="仿宋_GB2312" w:cs="仿宋_GB2312"/>
          <w:color w:val="000000" w:themeColor="text1"/>
          <w:sz w:val="24"/>
          <w:szCs w:val="24"/>
        </w:rPr>
        <w:t>32岁以下的申请人具有良好的研究基础，已取得突出的研究成果，经过本计划的培养，有潜力在未来三年内取得本条款前（1）（2）点之一所列研究成果。</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4.系统讲授过本学科主干课程或作为骨干成员参与校级以上精品课程建设。</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5.积极参加学科建设，对本人的研究工作在相关学科发展中的支撑和特色形成作用有较清醒的认识，具有成为学科带头人或学术带头人的发展潜力。</w:t>
      </w:r>
    </w:p>
    <w:p w:rsidR="00E37845" w:rsidRDefault="00E22BDD">
      <w:pPr>
        <w:adjustRightInd w:val="0"/>
        <w:snapToGrid w:val="0"/>
        <w:spacing w:line="336"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二、设岗数量</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院士按实际确定</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领军人才按实际确定</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特聘教授A档三年内设20个左右（后续动态调整）</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w:t>
      </w:r>
      <w:r>
        <w:rPr>
          <w:rFonts w:ascii="仿宋_GB2312" w:eastAsia="仿宋_GB2312" w:hAnsi="仿宋_GB2312" w:cs="仿宋_GB2312"/>
          <w:color w:val="000000" w:themeColor="text1"/>
          <w:sz w:val="24"/>
          <w:szCs w:val="24"/>
        </w:rPr>
        <w:t>特聘教授B档三年内设40个左右（后续动态调整）</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（五）</w:t>
      </w:r>
      <w:r>
        <w:rPr>
          <w:rFonts w:ascii="仿宋_GB2312" w:eastAsia="仿宋_GB2312" w:hAnsi="仿宋_GB2312" w:cs="仿宋_GB2312"/>
          <w:color w:val="000000" w:themeColor="text1"/>
          <w:sz w:val="24"/>
          <w:szCs w:val="24"/>
        </w:rPr>
        <w:t>特聘教授C档三年内设100个左右（后续动态调整）</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（六）</w:t>
      </w:r>
      <w:r>
        <w:rPr>
          <w:rFonts w:ascii="仿宋_GB2312" w:eastAsia="仿宋_GB2312" w:hAnsi="仿宋_GB2312" w:cs="仿宋_GB2312"/>
          <w:color w:val="000000" w:themeColor="text1"/>
          <w:sz w:val="24"/>
          <w:szCs w:val="24"/>
        </w:rPr>
        <w:t>青年拔尖人才按实际评审确定</w:t>
      </w:r>
      <w:r>
        <w:rPr>
          <w:rFonts w:ascii="仿宋_GB2312" w:eastAsia="仿宋_GB2312" w:hAnsi="仿宋_GB2312" w:cs="仿宋_GB2312" w:hint="eastAsia"/>
          <w:color w:val="000000" w:themeColor="text1"/>
          <w:sz w:val="24"/>
          <w:szCs w:val="24"/>
        </w:rPr>
        <w:t>。</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318" w:name="_Toc31221"/>
      <w:bookmarkStart w:id="1319" w:name="_Toc11932"/>
      <w:bookmarkStart w:id="1320" w:name="_Toc20299"/>
      <w:bookmarkStart w:id="1321" w:name="_Toc9315"/>
      <w:bookmarkStart w:id="1322" w:name="_Toc8004"/>
      <w:bookmarkStart w:id="1323" w:name="_Toc29942"/>
      <w:bookmarkStart w:id="1324" w:name="_Toc26444"/>
      <w:bookmarkStart w:id="1325" w:name="_Toc26131"/>
      <w:bookmarkStart w:id="1326" w:name="_Toc28047"/>
      <w:bookmarkStart w:id="1327" w:name="_Toc15537"/>
      <w:bookmarkStart w:id="1328" w:name="_Toc9449"/>
      <w:bookmarkStart w:id="1329" w:name="_Toc19988"/>
      <w:bookmarkStart w:id="1330" w:name="_Toc12461"/>
      <w:bookmarkStart w:id="1331" w:name="_Toc28154"/>
      <w:bookmarkStart w:id="1332" w:name="_Toc18449"/>
      <w:bookmarkStart w:id="1333" w:name="_Toc19223"/>
      <w:bookmarkStart w:id="1334" w:name="_Toc519780974"/>
      <w:bookmarkStart w:id="1335" w:name="_Toc11063"/>
      <w:bookmarkStart w:id="1336" w:name="_Toc28823"/>
      <w:bookmarkStart w:id="1337" w:name="_Toc6692"/>
      <w:bookmarkStart w:id="1338" w:name="_Toc32664"/>
      <w:bookmarkStart w:id="1339" w:name="_Toc13627"/>
      <w:bookmarkStart w:id="1340" w:name="_Toc4710"/>
      <w:bookmarkStart w:id="1341" w:name="_Toc10403"/>
      <w:r>
        <w:rPr>
          <w:rFonts w:ascii="黑体" w:eastAsia="黑体" w:hAnsi="黑体" w:cs="黑体" w:hint="eastAsia"/>
          <w:color w:val="000000" w:themeColor="text1"/>
          <w:sz w:val="28"/>
          <w:szCs w:val="28"/>
        </w:rPr>
        <w:t>4.11.2广州良师岗</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rsidR="00E37845" w:rsidRDefault="00E22BDD">
      <w:pPr>
        <w:adjustRightInd w:val="0"/>
        <w:snapToGrid w:val="0"/>
        <w:spacing w:line="336"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一、聘用条件</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广州良师岗包括教学名师和青年教学新秀两个层次，其中，教学名师分为</w:t>
      </w:r>
      <w:r>
        <w:rPr>
          <w:rFonts w:ascii="仿宋_GB2312" w:eastAsia="仿宋_GB2312" w:hAnsi="仿宋_GB2312" w:cs="仿宋_GB2312"/>
          <w:color w:val="000000" w:themeColor="text1"/>
          <w:sz w:val="24"/>
          <w:szCs w:val="24"/>
        </w:rPr>
        <w:t>A、B两档。广州良师岗面向在职在编教师申报。申报人应具有良好的师德师风，学术道德高尚，教书育人，做学生成长的引路人，具有扎实的理论基础和突出的教学能力，达到下列基本条件</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教学名师A档</w:t>
      </w:r>
      <w:r>
        <w:rPr>
          <w:rFonts w:ascii="仿宋_GB2312" w:eastAsia="仿宋_GB2312" w:hAnsi="仿宋_GB2312" w:cs="仿宋_GB2312" w:hint="eastAsia"/>
          <w:color w:val="000000" w:themeColor="text1"/>
          <w:sz w:val="24"/>
          <w:szCs w:val="24"/>
        </w:rPr>
        <w:t>。从事教学工作</w:t>
      </w:r>
      <w:r>
        <w:rPr>
          <w:rFonts w:ascii="仿宋_GB2312" w:eastAsia="仿宋_GB2312" w:hAnsi="仿宋_GB2312" w:cs="仿宋_GB2312"/>
          <w:color w:val="000000" w:themeColor="text1"/>
          <w:sz w:val="24"/>
          <w:szCs w:val="24"/>
        </w:rPr>
        <w:t>15年以上，每年坚持给本科上课64学时以上，获得省级以上教学成果奖或指导学生获得省级以上学科竞赛、创新大赛以上奖项，教学效果优秀，在教书育人上</w:t>
      </w:r>
      <w:r>
        <w:rPr>
          <w:rFonts w:ascii="仿宋_GB2312" w:eastAsia="仿宋_GB2312" w:hAnsi="仿宋_GB2312" w:cs="仿宋_GB2312" w:hint="eastAsia"/>
          <w:color w:val="000000" w:themeColor="text1"/>
          <w:sz w:val="24"/>
          <w:szCs w:val="24"/>
        </w:rPr>
        <w:t>作出突出贡献，得到师生公认</w:t>
      </w:r>
      <w:r>
        <w:rPr>
          <w:rFonts w:ascii="仿宋_GB2312" w:eastAsia="仿宋_GB2312" w:hAnsi="仿宋_GB2312" w:cs="仿宋_GB2312"/>
          <w:color w:val="000000" w:themeColor="text1"/>
          <w:sz w:val="24"/>
          <w:szCs w:val="24"/>
        </w:rPr>
        <w:t>,包括国家级教学名师、国家级教学团队负责人等。同等条件下优先考虑承担公共课、学科基础课和</w:t>
      </w:r>
      <w:r>
        <w:rPr>
          <w:rFonts w:ascii="仿宋_GB2312" w:eastAsia="仿宋_GB2312" w:hAnsi="仿宋_GB2312" w:cs="仿宋_GB2312" w:hint="eastAsia"/>
          <w:color w:val="000000" w:themeColor="text1"/>
          <w:sz w:val="24"/>
          <w:szCs w:val="24"/>
        </w:rPr>
        <w:t>通识类选修课的一线教师。</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教学名师B档</w:t>
      </w:r>
      <w:r>
        <w:rPr>
          <w:rFonts w:ascii="仿宋_GB2312" w:eastAsia="仿宋_GB2312" w:hAnsi="仿宋_GB2312" w:cs="仿宋_GB2312" w:hint="eastAsia"/>
          <w:color w:val="000000" w:themeColor="text1"/>
          <w:sz w:val="24"/>
          <w:szCs w:val="24"/>
        </w:rPr>
        <w:t>。从事教学工作</w:t>
      </w:r>
      <w:r>
        <w:rPr>
          <w:rFonts w:ascii="仿宋_GB2312" w:eastAsia="仿宋_GB2312" w:hAnsi="仿宋_GB2312" w:cs="仿宋_GB2312"/>
          <w:color w:val="000000" w:themeColor="text1"/>
          <w:sz w:val="24"/>
          <w:szCs w:val="24"/>
        </w:rPr>
        <w:t>10年以上，每年坚持给本科生上课96学时以上，获得校级以上教学成果奖或主持省市级教研项目或质量工程项目或指导学生或省级</w:t>
      </w:r>
      <w:r>
        <w:rPr>
          <w:rFonts w:ascii="仿宋_GB2312" w:eastAsia="仿宋_GB2312" w:hAnsi="仿宋_GB2312" w:cs="仿宋_GB2312"/>
          <w:color w:val="000000" w:themeColor="text1"/>
          <w:sz w:val="24"/>
          <w:szCs w:val="24"/>
        </w:rPr>
        <w:lastRenderedPageBreak/>
        <w:t>以上学科竞赛、创新竞赛奖，教学效果优秀，表现突出，得到师生认可，包括省级教学名师，以及水平和成就与此相当，具有较高学术造诣，注重教学改革与实践，教学水平高，近三个学年每学期学生评教成绩在本学院教师教学评价TOP20%，督导评价优秀的专任教师。同等条件下优先考虑承担公共课、学科基础课和</w:t>
      </w:r>
      <w:r>
        <w:rPr>
          <w:rFonts w:ascii="仿宋_GB2312" w:eastAsia="仿宋_GB2312" w:hAnsi="仿宋_GB2312" w:cs="仿宋_GB2312" w:hint="eastAsia"/>
          <w:color w:val="000000" w:themeColor="text1"/>
          <w:sz w:val="24"/>
          <w:szCs w:val="24"/>
        </w:rPr>
        <w:t>通识类选修课的一线教师。</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青年教学新秀</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1）具有硕士学位、中级及以上职称，年龄不超</w:t>
      </w:r>
      <w:r>
        <w:rPr>
          <w:rFonts w:ascii="仿宋_GB2312" w:eastAsia="仿宋_GB2312" w:hAnsi="仿宋_GB2312" w:cs="仿宋_GB2312" w:hint="eastAsia"/>
          <w:color w:val="000000" w:themeColor="text1"/>
          <w:sz w:val="24"/>
          <w:szCs w:val="24"/>
        </w:rPr>
        <w:t>过</w:t>
      </w:r>
      <w:r>
        <w:rPr>
          <w:rFonts w:ascii="仿宋_GB2312" w:eastAsia="仿宋_GB2312" w:hAnsi="仿宋_GB2312" w:cs="仿宋_GB2312"/>
          <w:color w:val="000000" w:themeColor="text1"/>
          <w:sz w:val="24"/>
          <w:szCs w:val="24"/>
        </w:rPr>
        <w:t xml:space="preserve"> 40周岁；（2）近五年主持过省市级以上教研项目或质量工程项目；（3）近三个学年，每学期学生评教成绩在本学院教师教学评价TOP30%；（4）从事高校教学5年以上，面向本科生实际课堂教学不少于176学时/年；（5）近三年督导评价优秀；（6）同等条件下优先考虑承担公共课、学科基础课和</w:t>
      </w:r>
      <w:r>
        <w:rPr>
          <w:rFonts w:ascii="仿宋_GB2312" w:eastAsia="仿宋_GB2312" w:hAnsi="仿宋_GB2312" w:cs="仿宋_GB2312" w:hint="eastAsia"/>
          <w:color w:val="000000" w:themeColor="text1"/>
          <w:sz w:val="24"/>
          <w:szCs w:val="24"/>
        </w:rPr>
        <w:t>通识类选修课的一线教师。</w:t>
      </w:r>
    </w:p>
    <w:p w:rsidR="00E37845" w:rsidRDefault="00E22BDD">
      <w:pPr>
        <w:adjustRightInd w:val="0"/>
        <w:snapToGrid w:val="0"/>
        <w:spacing w:line="336"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二、设岗数量</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教学名师A档按实际确定</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教学名师B档三年内设30个左右（后续动态调整）</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青年教学新秀三年内设40个左右（后续动态调整）</w:t>
      </w:r>
      <w:r>
        <w:rPr>
          <w:rFonts w:ascii="仿宋_GB2312" w:eastAsia="仿宋_GB2312" w:hAnsi="仿宋_GB2312" w:cs="仿宋_GB2312" w:hint="eastAsia"/>
          <w:color w:val="000000" w:themeColor="text1"/>
          <w:sz w:val="24"/>
          <w:szCs w:val="24"/>
        </w:rPr>
        <w:t>。</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342" w:name="_Toc14161"/>
      <w:bookmarkStart w:id="1343" w:name="_Toc16645"/>
      <w:bookmarkStart w:id="1344" w:name="_Toc27997"/>
      <w:bookmarkStart w:id="1345" w:name="_Toc2075"/>
      <w:bookmarkStart w:id="1346" w:name="_Toc1116"/>
      <w:bookmarkStart w:id="1347" w:name="_Toc27695"/>
      <w:bookmarkStart w:id="1348" w:name="_Toc11575"/>
      <w:bookmarkStart w:id="1349" w:name="_Toc23078"/>
      <w:bookmarkStart w:id="1350" w:name="_Toc25864"/>
      <w:bookmarkStart w:id="1351" w:name="_Toc29751"/>
      <w:bookmarkStart w:id="1352" w:name="_Toc11813"/>
      <w:bookmarkStart w:id="1353" w:name="_Toc11803"/>
      <w:bookmarkStart w:id="1354" w:name="_Toc15810"/>
      <w:bookmarkStart w:id="1355" w:name="_Toc30886"/>
      <w:bookmarkStart w:id="1356" w:name="_Toc24026"/>
      <w:bookmarkStart w:id="1357" w:name="_Toc19230"/>
      <w:bookmarkStart w:id="1358" w:name="_Toc28207"/>
      <w:bookmarkStart w:id="1359" w:name="_Toc519780975"/>
      <w:bookmarkStart w:id="1360" w:name="_Toc24777"/>
      <w:bookmarkStart w:id="1361" w:name="_Toc29591"/>
      <w:bookmarkStart w:id="1362" w:name="_Toc817"/>
      <w:bookmarkStart w:id="1363" w:name="_Toc25403"/>
      <w:bookmarkStart w:id="1364" w:name="_Toc26001"/>
      <w:bookmarkStart w:id="1365" w:name="_Toc26996"/>
      <w:bookmarkStart w:id="1366" w:name="_Toc10910"/>
      <w:bookmarkStart w:id="1367" w:name="_Toc15442"/>
      <w:r>
        <w:rPr>
          <w:rFonts w:ascii="黑体" w:eastAsia="黑体" w:hAnsi="黑体" w:cs="黑体" w:hint="eastAsia"/>
          <w:color w:val="000000" w:themeColor="text1"/>
          <w:sz w:val="28"/>
          <w:szCs w:val="28"/>
        </w:rPr>
        <w:t>4.11.3聘期管理</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学校在每个聘期满后对聘用人员进行考核评估。考核评估按照每位聘用人员聘任合同约定的工作目标和任务考核条款进行。考核评估工作由学校和二级单位共同组织，考核评估结果作为其是否续聘的主要依据。</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二、考核程序</w:t>
      </w:r>
      <w:r>
        <w:rPr>
          <w:rFonts w:ascii="仿宋_GB2312" w:eastAsia="仿宋_GB2312" w:hAnsi="仿宋_GB2312" w:cs="仿宋_GB2312"/>
          <w:color w:val="000000" w:themeColor="text1"/>
          <w:sz w:val="24"/>
          <w:szCs w:val="24"/>
        </w:rPr>
        <w:t>.1.聘用人员填写聘期工作总结报告，附上相关业绩成果材料；2.</w:t>
      </w:r>
      <w:r>
        <w:rPr>
          <w:rFonts w:ascii="仿宋_GB2312" w:eastAsia="仿宋_GB2312" w:hAnsi="仿宋_GB2312" w:cs="仿宋_GB2312" w:hint="eastAsia"/>
          <w:color w:val="000000" w:themeColor="text1"/>
          <w:kern w:val="0"/>
          <w:sz w:val="24"/>
          <w:szCs w:val="24"/>
        </w:rPr>
        <w:t>二级单位岗位聘用工作委员会</w:t>
      </w:r>
      <w:r>
        <w:rPr>
          <w:rFonts w:ascii="仿宋_GB2312" w:eastAsia="仿宋_GB2312" w:hAnsi="仿宋_GB2312" w:cs="仿宋_GB2312" w:hint="eastAsia"/>
          <w:color w:val="000000" w:themeColor="text1"/>
          <w:sz w:val="24"/>
          <w:szCs w:val="24"/>
        </w:rPr>
        <w:t>提出考核意见；</w:t>
      </w:r>
      <w:r>
        <w:rPr>
          <w:rFonts w:ascii="仿宋_GB2312" w:eastAsia="仿宋_GB2312" w:hAnsi="仿宋_GB2312" w:cs="仿宋_GB2312"/>
          <w:color w:val="000000" w:themeColor="text1"/>
          <w:sz w:val="24"/>
          <w:szCs w:val="24"/>
        </w:rPr>
        <w:t>3.</w:t>
      </w:r>
      <w:r>
        <w:rPr>
          <w:rFonts w:ascii="仿宋_GB2312" w:eastAsia="仿宋_GB2312" w:hAnsi="仿宋_GB2312" w:cs="仿宋_GB2312" w:hint="eastAsia"/>
          <w:color w:val="000000" w:themeColor="text1"/>
          <w:kern w:val="0"/>
          <w:sz w:val="24"/>
          <w:szCs w:val="24"/>
        </w:rPr>
        <w:t>学校专业技术岗位聘用工作委员会</w:t>
      </w:r>
      <w:r>
        <w:rPr>
          <w:rFonts w:ascii="仿宋_GB2312" w:eastAsia="仿宋_GB2312" w:hAnsi="仿宋_GB2312" w:cs="仿宋_GB2312" w:hint="eastAsia"/>
          <w:color w:val="000000" w:themeColor="text1"/>
          <w:sz w:val="24"/>
          <w:szCs w:val="24"/>
        </w:rPr>
        <w:t>进行评议；</w:t>
      </w:r>
      <w:r>
        <w:rPr>
          <w:rFonts w:ascii="仿宋_GB2312" w:eastAsia="仿宋_GB2312" w:hAnsi="仿宋_GB2312" w:cs="仿宋_GB2312"/>
          <w:color w:val="000000" w:themeColor="text1"/>
          <w:sz w:val="24"/>
          <w:szCs w:val="24"/>
        </w:rPr>
        <w:t>4.考核结果报校长办公会议（校党委常委会议）审定。</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三、有下列情形之一的解除教师特聘岗位聘用，停发剩余特聘岗位津贴</w:t>
      </w:r>
      <w:r>
        <w:rPr>
          <w:rFonts w:ascii="仿宋_GB2312" w:eastAsia="仿宋_GB2312" w:hAnsi="仿宋_GB2312" w:cs="仿宋_GB2312"/>
          <w:color w:val="000000" w:themeColor="text1"/>
          <w:sz w:val="24"/>
          <w:szCs w:val="24"/>
        </w:rPr>
        <w:t>.1.违反国家有关政策、法律、法规，给国家或学校造成损失的；2.违反社会公德、职业道德和学术道德，在师生中造成不良影响的；3.聘期内出现严重教学事故的；4.年度考核结果合格以下的；5.聘期内，因个人原因调离学校的。</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368" w:name="_Toc24563"/>
      <w:bookmarkStart w:id="1369" w:name="_Toc21239"/>
      <w:bookmarkStart w:id="1370" w:name="_Toc4140"/>
      <w:bookmarkStart w:id="1371" w:name="_Toc519780976"/>
      <w:bookmarkStart w:id="1372" w:name="_Toc31353"/>
      <w:bookmarkStart w:id="1373" w:name="_Toc1169"/>
      <w:bookmarkStart w:id="1374" w:name="_Toc18537"/>
      <w:bookmarkStart w:id="1375" w:name="_Toc17642"/>
      <w:bookmarkStart w:id="1376" w:name="_Toc20955"/>
      <w:bookmarkStart w:id="1377" w:name="_Toc13462"/>
      <w:bookmarkStart w:id="1378" w:name="_Toc5098"/>
      <w:bookmarkStart w:id="1379" w:name="_Toc18474"/>
      <w:bookmarkStart w:id="1380" w:name="_Toc19919"/>
      <w:bookmarkStart w:id="1381" w:name="_Toc3124"/>
      <w:bookmarkStart w:id="1382" w:name="_Toc1566"/>
      <w:bookmarkStart w:id="1383" w:name="_Toc8784"/>
      <w:bookmarkStart w:id="1384" w:name="_Toc6414"/>
      <w:bookmarkStart w:id="1385" w:name="_Toc7194"/>
      <w:bookmarkStart w:id="1386" w:name="_Toc13831"/>
      <w:bookmarkStart w:id="1387" w:name="_Toc30403"/>
      <w:bookmarkStart w:id="1388" w:name="_Toc24292"/>
      <w:bookmarkStart w:id="1389" w:name="_Toc29474"/>
      <w:bookmarkStart w:id="1390" w:name="_Toc9250"/>
      <w:bookmarkStart w:id="1391" w:name="_Toc3589"/>
      <w:bookmarkStart w:id="1392" w:name="_Toc29419"/>
      <w:bookmarkStart w:id="1393" w:name="_Toc6173"/>
      <w:bookmarkStart w:id="1394" w:name="_Toc17533"/>
      <w:bookmarkStart w:id="1395" w:name="_Toc17316"/>
      <w:bookmarkStart w:id="1396" w:name="_Toc113"/>
      <w:bookmarkStart w:id="1397" w:name="_Toc22402"/>
      <w:r>
        <w:rPr>
          <w:rFonts w:ascii="黑体" w:eastAsia="黑体" w:hAnsi="黑体" w:cs="黑体" w:hint="eastAsia"/>
          <w:color w:val="000000" w:themeColor="text1"/>
          <w:sz w:val="28"/>
          <w:szCs w:val="28"/>
        </w:rPr>
        <w:t>4.12博士后流动站管理</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398" w:name="_Toc16006"/>
      <w:bookmarkStart w:id="1399" w:name="_Toc23662"/>
      <w:bookmarkStart w:id="1400" w:name="_Toc20724"/>
      <w:bookmarkStart w:id="1401" w:name="_Toc18655"/>
      <w:bookmarkStart w:id="1402" w:name="_Toc11682"/>
      <w:bookmarkStart w:id="1403" w:name="_Toc7044"/>
      <w:bookmarkStart w:id="1404" w:name="_Toc1001"/>
      <w:bookmarkStart w:id="1405" w:name="_Toc27995"/>
      <w:bookmarkStart w:id="1406" w:name="_Toc1856"/>
      <w:bookmarkStart w:id="1407" w:name="_Toc16520"/>
      <w:bookmarkStart w:id="1408" w:name="_Toc22956"/>
      <w:bookmarkStart w:id="1409" w:name="_Toc12993"/>
      <w:bookmarkStart w:id="1410" w:name="_Toc519780977"/>
      <w:bookmarkStart w:id="1411" w:name="_Toc25468"/>
      <w:bookmarkStart w:id="1412" w:name="_Toc18632"/>
      <w:bookmarkStart w:id="1413" w:name="_Toc27367"/>
      <w:bookmarkStart w:id="1414" w:name="_Toc18977"/>
      <w:bookmarkStart w:id="1415" w:name="_Toc29897"/>
      <w:bookmarkStart w:id="1416" w:name="_Toc8111"/>
      <w:bookmarkStart w:id="1417" w:name="_Toc8252"/>
      <w:bookmarkStart w:id="1418" w:name="_Toc6905"/>
      <w:bookmarkStart w:id="1419" w:name="_Toc9965"/>
      <w:bookmarkStart w:id="1420" w:name="_Toc15549"/>
      <w:bookmarkStart w:id="1421" w:name="_Toc17599"/>
      <w:bookmarkStart w:id="1422" w:name="_Toc6267"/>
      <w:bookmarkStart w:id="1423" w:name="_Toc16089"/>
      <w:bookmarkStart w:id="1424" w:name="_Toc19539"/>
      <w:bookmarkStart w:id="1425" w:name="_Toc1736"/>
      <w:bookmarkStart w:id="1426" w:name="_Toc1627"/>
      <w:bookmarkStart w:id="1427" w:name="_Toc6471"/>
      <w:r>
        <w:rPr>
          <w:rFonts w:ascii="黑体" w:eastAsia="黑体" w:hAnsi="黑体" w:cs="黑体" w:hint="eastAsia"/>
          <w:color w:val="000000" w:themeColor="text1"/>
          <w:sz w:val="28"/>
          <w:szCs w:val="28"/>
        </w:rPr>
        <w:t>4.12.1</w:t>
      </w:r>
      <w:bookmarkEnd w:id="1398"/>
      <w:r>
        <w:rPr>
          <w:rFonts w:ascii="黑体" w:eastAsia="黑体" w:hAnsi="黑体" w:cs="黑体" w:hint="eastAsia"/>
          <w:color w:val="000000" w:themeColor="text1"/>
          <w:sz w:val="28"/>
          <w:szCs w:val="28"/>
        </w:rPr>
        <w:t>申请者向流动站递交申请的材料及流程</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博士后申请者将本人简历（包括学习、工作经历、发表文章、参加课题等情况）发给合作教授或广州大学人事处博士后管理办公室。经初审合格后，由各流动站组织专家进行面试考核合格，填写“广州大学博士后申请表”、“面谈记录表”、“博士后科</w:t>
      </w:r>
      <w:r>
        <w:rPr>
          <w:rFonts w:ascii="仿宋_GB2312" w:eastAsia="仿宋_GB2312" w:hAnsi="仿宋_GB2312" w:cs="仿宋_GB2312"/>
          <w:color w:val="000000" w:themeColor="text1"/>
          <w:sz w:val="24"/>
          <w:szCs w:val="24"/>
        </w:rPr>
        <w:lastRenderedPageBreak/>
        <w:t>研流动站设站单位学术部门考核意见表”、“专家推荐信”（两份原件）、学历学位证书复印件、广州大学博士后工作协议书等材料报学校人事处审批。</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经考核同意录用的申请人，请登录“广州市高层次人才系统</w:t>
      </w:r>
      <w:r>
        <w:rPr>
          <w:rFonts w:ascii="Times New Roman" w:eastAsia="仿宋_GB2312" w:hAnsi="Times New Roman" w:hint="eastAsia"/>
          <w:color w:val="000000" w:themeColor="text1"/>
          <w:sz w:val="24"/>
          <w:szCs w:val="24"/>
        </w:rPr>
        <w:t>（</w:t>
      </w:r>
      <w:r>
        <w:rPr>
          <w:rFonts w:ascii="Times New Roman" w:eastAsia="仿宋_GB2312" w:hAnsi="Times New Roman" w:hint="eastAsia"/>
          <w:color w:val="000000" w:themeColor="text1"/>
          <w:sz w:val="24"/>
          <w:szCs w:val="24"/>
        </w:rPr>
        <w:t>http.//www.hrssgz.gov.cn/vsgzhr</w:t>
      </w:r>
      <w:r>
        <w:rPr>
          <w:rFonts w:ascii="Times New Roman" w:eastAsia="仿宋_GB2312" w:hAnsi="Times New Roman" w:hint="eastAsia"/>
          <w:color w:val="000000" w:themeColor="text1"/>
          <w:sz w:val="24"/>
          <w:szCs w:val="24"/>
        </w:rPr>
        <w:t>）</w:t>
      </w:r>
      <w:r>
        <w:rPr>
          <w:rFonts w:ascii="仿宋_GB2312" w:eastAsia="仿宋_GB2312" w:hAnsi="仿宋_GB2312" w:cs="仿宋_GB2312"/>
          <w:color w:val="000000" w:themeColor="text1"/>
          <w:sz w:val="24"/>
          <w:szCs w:val="24"/>
        </w:rPr>
        <w:t>”“全国博士后交互式网上办公系统</w:t>
      </w:r>
      <w:r>
        <w:rPr>
          <w:rFonts w:ascii="Times New Roman" w:eastAsia="仿宋_GB2312" w:hAnsi="Times New Roman" w:hint="eastAsia"/>
          <w:color w:val="000000" w:themeColor="text1"/>
          <w:sz w:val="24"/>
          <w:szCs w:val="24"/>
        </w:rPr>
        <w:t>（</w:t>
      </w:r>
      <w:hyperlink r:id="rId22" w:history="1">
        <w:r>
          <w:rPr>
            <w:rFonts w:ascii="Times New Roman" w:eastAsia="仿宋_GB2312" w:hAnsi="Times New Roman"/>
            <w:color w:val="000000" w:themeColor="text1"/>
            <w:sz w:val="24"/>
            <w:szCs w:val="24"/>
          </w:rPr>
          <w:t>http.//www.</w:t>
        </w:r>
        <w:bookmarkStart w:id="1428" w:name="_Hlt156199694"/>
        <w:bookmarkStart w:id="1429" w:name="_Hlt156199695"/>
        <w:r>
          <w:rPr>
            <w:rFonts w:ascii="Times New Roman" w:eastAsia="仿宋_GB2312" w:hAnsi="Times New Roman"/>
            <w:color w:val="000000" w:themeColor="text1"/>
            <w:sz w:val="24"/>
            <w:szCs w:val="24"/>
          </w:rPr>
          <w:t>c</w:t>
        </w:r>
        <w:bookmarkEnd w:id="1428"/>
        <w:bookmarkEnd w:id="1429"/>
        <w:r>
          <w:rPr>
            <w:rFonts w:ascii="Times New Roman" w:eastAsia="仿宋_GB2312" w:hAnsi="Times New Roman"/>
            <w:color w:val="000000" w:themeColor="text1"/>
            <w:sz w:val="24"/>
            <w:szCs w:val="24"/>
          </w:rPr>
          <w:t>hinapostdoctor.org.cn/</w:t>
        </w:r>
      </w:hyperlink>
      <w:r>
        <w:rPr>
          <w:rFonts w:ascii="Times New Roman" w:eastAsia="仿宋_GB2312" w:hAnsi="Times New Roman" w:hint="eastAsia"/>
          <w:color w:val="000000" w:themeColor="text1"/>
          <w:sz w:val="24"/>
          <w:szCs w:val="24"/>
        </w:rPr>
        <w:t>）</w:t>
      </w:r>
      <w:r>
        <w:rPr>
          <w:rFonts w:ascii="仿宋_GB2312" w:eastAsia="仿宋_GB2312" w:hAnsi="仿宋_GB2312" w:cs="仿宋_GB2312" w:hint="eastAsia"/>
          <w:color w:val="000000" w:themeColor="text1"/>
          <w:sz w:val="24"/>
          <w:szCs w:val="24"/>
        </w:rPr>
        <w:t>”，进行网上申报并打印材料。</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网上审核通过后，提交纸质材料。</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（一）《博士后申请表》一式</w:t>
      </w:r>
      <w:r>
        <w:rPr>
          <w:rFonts w:ascii="仿宋_GB2312" w:eastAsia="仿宋_GB2312" w:hAnsi="仿宋_GB2312" w:cs="仿宋_GB2312"/>
          <w:color w:val="000000" w:themeColor="text1"/>
          <w:sz w:val="24"/>
          <w:szCs w:val="24"/>
        </w:rPr>
        <w:t>2份原件（表格从“中国博士后网”下载）；《博士后进站审核表》一式2份原件（表格使用广州市规定版本）。</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（二）博士毕业证书、学位证书复印件</w:t>
      </w:r>
      <w:r>
        <w:rPr>
          <w:rFonts w:ascii="仿宋_GB2312" w:eastAsia="仿宋_GB2312" w:hAnsi="仿宋_GB2312" w:cs="仿宋_GB2312"/>
          <w:color w:val="000000" w:themeColor="text1"/>
          <w:sz w:val="24"/>
          <w:szCs w:val="24"/>
        </w:rPr>
        <w:t>2份（已通过博士学位论文答辩，但未取得学位证书的博士应出具博士阶段所在学校学位办公室或答辩委员会盖章的证明，和已通过论文答辩的决议书复印件，获学位</w:t>
      </w:r>
      <w:r>
        <w:rPr>
          <w:rFonts w:ascii="仿宋_GB2312" w:eastAsia="仿宋_GB2312" w:hAnsi="仿宋_GB2312" w:cs="仿宋_GB2312" w:hint="eastAsia"/>
          <w:color w:val="000000" w:themeColor="text1"/>
          <w:sz w:val="24"/>
          <w:szCs w:val="24"/>
        </w:rPr>
        <w:t>后须验原件并补交复印件）；</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（三）单位政审意见一式</w:t>
      </w:r>
      <w:r>
        <w:rPr>
          <w:rFonts w:ascii="仿宋_GB2312" w:eastAsia="仿宋_GB2312" w:hAnsi="仿宋_GB2312" w:cs="仿宋_GB2312"/>
          <w:color w:val="000000" w:themeColor="text1"/>
          <w:sz w:val="24"/>
          <w:szCs w:val="24"/>
        </w:rPr>
        <w:t>2份；（1份原件，1份复印件）</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（四）辞职人员必须提交辞职证明（原所在单位人事或干部部门出具）或《辞职证明书》（原单位同级政府人社部门所属人才服务机构出具）。（</w:t>
      </w:r>
      <w:r>
        <w:rPr>
          <w:rFonts w:ascii="仿宋_GB2312" w:eastAsia="仿宋_GB2312" w:hAnsi="仿宋_GB2312" w:cs="仿宋_GB2312"/>
          <w:color w:val="000000" w:themeColor="text1"/>
          <w:sz w:val="24"/>
          <w:szCs w:val="24"/>
        </w:rPr>
        <w:t>1份原件，1份复印件）</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（五）属委托培养、定向培养和在职工作以及具有现役军人身份的人员</w:t>
      </w:r>
      <w:r>
        <w:rPr>
          <w:rFonts w:ascii="仿宋_GB2312" w:eastAsia="仿宋_GB2312" w:hAnsi="仿宋_GB2312" w:cs="仿宋_GB2312"/>
          <w:color w:val="000000" w:themeColor="text1"/>
          <w:sz w:val="24"/>
          <w:szCs w:val="24"/>
        </w:rPr>
        <w:t>.必须提供工作单位人事部门或所在部队师以上干部部门出具的同意全脱产做博士后的书面证明材料一式2份（委培、定向、在职、军籍博士生提交），并写明出站后“是否可自主选择工作”（单位领导签字、单位盖章方可有效）；</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（六）身份证复印件一式</w:t>
      </w:r>
      <w:r>
        <w:rPr>
          <w:rFonts w:ascii="仿宋_GB2312" w:eastAsia="仿宋_GB2312" w:hAnsi="仿宋_GB2312" w:cs="仿宋_GB2312"/>
          <w:color w:val="000000" w:themeColor="text1"/>
          <w:sz w:val="24"/>
          <w:szCs w:val="24"/>
        </w:rPr>
        <w:t>2份（已婚者需提供夫妻双方身份证、结婚</w:t>
      </w:r>
      <w:r>
        <w:rPr>
          <w:rFonts w:ascii="仿宋_GB2312" w:eastAsia="仿宋_GB2312" w:hAnsi="仿宋_GB2312" w:cs="仿宋_GB2312" w:hint="eastAsia"/>
          <w:color w:val="000000" w:themeColor="text1"/>
          <w:sz w:val="24"/>
          <w:szCs w:val="24"/>
        </w:rPr>
        <w:t>证、计生证明材料）。</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（七）留学人员必须提交教育部《留学回国人员证明》（</w:t>
      </w:r>
      <w:r>
        <w:rPr>
          <w:rFonts w:ascii="仿宋_GB2312" w:eastAsia="仿宋_GB2312" w:hAnsi="仿宋_GB2312" w:cs="仿宋_GB2312"/>
          <w:color w:val="000000" w:themeColor="text1"/>
          <w:sz w:val="24"/>
          <w:szCs w:val="24"/>
        </w:rPr>
        <w:t>2份复印件），学历学位认证证书（2份复印件）。如果出国前已经注销户口的，须提供户口注销证明。</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（八）港澳地区博士毕业的，需提供中央政府驻港澳联络办开具的《在港澳学习证明》或提供教育部留学服务中心港澳台地区学历学位认证办公室开具的《香港、澳门特别行政区学历学位认证书》（复印件）。</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（九）体检表（广州市第一人民医院，必须含有肝功能检测和心电图检测）（一份）。学校审核通过后来博士后管理办公室开具介绍信前往体检。</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（十）与企业联合培养的博士后还需提交《博士后科研工作站研究项目指导小组考核意见表》、《博士后科研工作站招收博士后研究项目立项表》、《联合培养博士后研究人员协议书》（各一式五份）。</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430" w:name="_Toc174"/>
      <w:bookmarkStart w:id="1431" w:name="_Toc16163"/>
      <w:bookmarkStart w:id="1432" w:name="_Toc15960"/>
      <w:bookmarkStart w:id="1433" w:name="_Toc519780978"/>
      <w:bookmarkStart w:id="1434" w:name="_Toc19939"/>
      <w:bookmarkStart w:id="1435" w:name="_Toc18966"/>
      <w:bookmarkStart w:id="1436" w:name="_Toc491"/>
      <w:bookmarkStart w:id="1437" w:name="_Toc132"/>
      <w:bookmarkStart w:id="1438" w:name="_Toc5366"/>
      <w:bookmarkStart w:id="1439" w:name="_Toc15237"/>
      <w:bookmarkStart w:id="1440" w:name="_Toc19145"/>
      <w:bookmarkStart w:id="1441" w:name="_Toc21218"/>
      <w:bookmarkStart w:id="1442" w:name="_Toc28851"/>
      <w:bookmarkStart w:id="1443" w:name="_Toc7160"/>
      <w:bookmarkStart w:id="1444" w:name="_Toc10287"/>
      <w:bookmarkStart w:id="1445" w:name="_Toc26559"/>
      <w:bookmarkStart w:id="1446" w:name="_Toc26532"/>
      <w:bookmarkStart w:id="1447" w:name="_Toc27479"/>
      <w:bookmarkStart w:id="1448" w:name="_Toc17545"/>
      <w:bookmarkStart w:id="1449" w:name="_Toc24789"/>
      <w:bookmarkStart w:id="1450" w:name="_Toc30996"/>
      <w:bookmarkStart w:id="1451" w:name="_Toc22750"/>
      <w:bookmarkStart w:id="1452" w:name="_Toc29083"/>
      <w:bookmarkStart w:id="1453" w:name="_Toc4947"/>
      <w:bookmarkStart w:id="1454" w:name="_Toc7103"/>
      <w:bookmarkStart w:id="1455" w:name="_Toc11112"/>
      <w:r>
        <w:rPr>
          <w:rFonts w:ascii="黑体" w:eastAsia="黑体" w:hAnsi="黑体" w:cs="黑体" w:hint="eastAsia"/>
          <w:color w:val="000000" w:themeColor="text1"/>
          <w:sz w:val="28"/>
          <w:szCs w:val="28"/>
        </w:rPr>
        <w:lastRenderedPageBreak/>
        <w:t>4.12.2流动站向学校人事处博士后管理办公室申请博士后进站递交材料及流程</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rsidR="00E37845" w:rsidRDefault="00E22BDD">
      <w:pPr>
        <w:adjustRightInd w:val="0"/>
        <w:snapToGrid w:val="0"/>
        <w:spacing w:line="336" w:lineRule="auto"/>
        <w:ind w:firstLineChars="200" w:firstLine="482"/>
        <w:jc w:val="left"/>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一、校内审批材料</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“广州大学博士后申请表”、“面谈记录表”、“博士后科研流动站设站单位学术部门考核意见表”、“专家推荐信”（两份原件）、学历学位证书复印件、广州大学博士后工作协议书。</w:t>
      </w:r>
    </w:p>
    <w:p w:rsidR="00E37845" w:rsidRDefault="00E22BDD">
      <w:pPr>
        <w:adjustRightInd w:val="0"/>
        <w:snapToGrid w:val="0"/>
        <w:spacing w:line="336" w:lineRule="auto"/>
        <w:ind w:firstLineChars="200" w:firstLine="482"/>
        <w:jc w:val="left"/>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二、进站正式材料</w:t>
      </w:r>
    </w:p>
    <w:p w:rsidR="00E37845" w:rsidRDefault="00E22BDD">
      <w:pPr>
        <w:adjustRightInd w:val="0"/>
        <w:snapToGrid w:val="0"/>
        <w:spacing w:line="336" w:lineRule="auto"/>
        <w:ind w:firstLineChars="200" w:firstLine="482"/>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b/>
          <w:bCs/>
          <w:color w:val="000000" w:themeColor="text1"/>
          <w:sz w:val="24"/>
          <w:szCs w:val="24"/>
        </w:rPr>
        <w:t>（一）</w:t>
      </w:r>
      <w:r>
        <w:rPr>
          <w:rFonts w:ascii="仿宋_GB2312" w:eastAsia="仿宋_GB2312" w:hAnsi="仿宋_GB2312" w:cs="仿宋_GB2312"/>
          <w:b/>
          <w:bCs/>
          <w:color w:val="000000" w:themeColor="text1"/>
          <w:sz w:val="24"/>
          <w:szCs w:val="24"/>
        </w:rPr>
        <w:t>共性材料</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包括《博士后申请表》、《专家推荐信》、《进站审核表》、《学术部门考核意见表》、有效身份证明、学历学位证书（或博士论文答辩决议书）、政审意见等材料。</w:t>
      </w:r>
    </w:p>
    <w:p w:rsidR="00E37845" w:rsidRDefault="00E22BDD">
      <w:pPr>
        <w:adjustRightInd w:val="0"/>
        <w:snapToGrid w:val="0"/>
        <w:spacing w:line="336" w:lineRule="auto"/>
        <w:ind w:firstLineChars="200" w:firstLine="482"/>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b/>
          <w:bCs/>
          <w:color w:val="000000" w:themeColor="text1"/>
          <w:sz w:val="24"/>
          <w:szCs w:val="24"/>
        </w:rPr>
        <w:t>（二）</w:t>
      </w:r>
      <w:r>
        <w:rPr>
          <w:rFonts w:ascii="仿宋_GB2312" w:eastAsia="仿宋_GB2312" w:hAnsi="仿宋_GB2312" w:cs="仿宋_GB2312"/>
          <w:b/>
          <w:bCs/>
          <w:color w:val="000000" w:themeColor="text1"/>
          <w:sz w:val="24"/>
          <w:szCs w:val="24"/>
        </w:rPr>
        <w:t>个性材料</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《留学回国人员证明》、《学历学位认证证书》、已与原单位解除人事（劳动）关系证明（原所属单位人事或干部部门出具）等材料。</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请流动站经办人依序整理两套，所有原件放第一套；所有复印件盖“与原件相符”和学院章，审核人签字；用夹子加好后提交到博管办。</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网上材料审批流程</w:t>
      </w:r>
      <w:r>
        <w:rPr>
          <w:rFonts w:ascii="仿宋_GB2312" w:eastAsia="仿宋_GB2312" w:hAnsi="仿宋_GB2312" w:cs="仿宋_GB2312"/>
          <w:color w:val="000000" w:themeColor="text1"/>
          <w:sz w:val="24"/>
          <w:szCs w:val="24"/>
        </w:rPr>
        <w:t>.请登录“广州市高层次人才系统</w:t>
      </w:r>
      <w:r>
        <w:rPr>
          <w:rFonts w:ascii="Times New Roman" w:eastAsia="仿宋_GB2312" w:hAnsi="Times New Roman" w:hint="eastAsia"/>
          <w:color w:val="000000" w:themeColor="text1"/>
          <w:sz w:val="24"/>
          <w:szCs w:val="24"/>
        </w:rPr>
        <w:t>（</w:t>
      </w:r>
      <w:r>
        <w:rPr>
          <w:rFonts w:ascii="Times New Roman" w:eastAsia="仿宋_GB2312" w:hAnsi="Times New Roman" w:hint="eastAsia"/>
          <w:color w:val="000000" w:themeColor="text1"/>
          <w:sz w:val="24"/>
          <w:szCs w:val="24"/>
        </w:rPr>
        <w:t>http.//www.hrssgz.gov.cn/vsgzhr</w:t>
      </w:r>
      <w:r>
        <w:rPr>
          <w:rFonts w:ascii="Times New Roman" w:eastAsia="仿宋_GB2312" w:hAnsi="Times New Roman" w:hint="eastAsia"/>
          <w:color w:val="000000" w:themeColor="text1"/>
          <w:sz w:val="24"/>
          <w:szCs w:val="24"/>
        </w:rPr>
        <w:t>）</w:t>
      </w:r>
      <w:r>
        <w:rPr>
          <w:rFonts w:ascii="仿宋_GB2312" w:eastAsia="仿宋_GB2312" w:hAnsi="仿宋_GB2312" w:cs="仿宋_GB2312" w:hint="eastAsia"/>
          <w:color w:val="000000" w:themeColor="text1"/>
          <w:sz w:val="24"/>
          <w:szCs w:val="24"/>
        </w:rPr>
        <w:t>”法人单位用户，审核申请人材料。法人单位（权限在流动站）提交到人事户头（权限在博管办）。</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456" w:name="_Toc8172"/>
      <w:bookmarkStart w:id="1457" w:name="_Toc20492"/>
      <w:bookmarkStart w:id="1458" w:name="_Toc7029"/>
      <w:bookmarkStart w:id="1459" w:name="_Toc15528"/>
      <w:bookmarkStart w:id="1460" w:name="_Toc16773"/>
      <w:bookmarkStart w:id="1461" w:name="_Toc23366"/>
      <w:bookmarkStart w:id="1462" w:name="_Toc28063"/>
      <w:bookmarkStart w:id="1463" w:name="_Toc6496"/>
      <w:bookmarkStart w:id="1464" w:name="_Toc12957"/>
      <w:bookmarkStart w:id="1465" w:name="_Toc15555"/>
      <w:bookmarkStart w:id="1466" w:name="_Toc4863"/>
      <w:bookmarkStart w:id="1467" w:name="_Toc12370"/>
      <w:bookmarkStart w:id="1468" w:name="_Toc20990"/>
      <w:bookmarkStart w:id="1469" w:name="_Toc20806"/>
      <w:bookmarkStart w:id="1470" w:name="_Toc26926"/>
      <w:bookmarkStart w:id="1471" w:name="_Toc13704"/>
      <w:bookmarkStart w:id="1472" w:name="_Toc13621"/>
      <w:bookmarkStart w:id="1473" w:name="_Toc4300"/>
      <w:bookmarkStart w:id="1474" w:name="_Toc10913"/>
      <w:bookmarkStart w:id="1475" w:name="_Toc22669"/>
      <w:bookmarkStart w:id="1476" w:name="_Toc22505"/>
      <w:bookmarkStart w:id="1477" w:name="_Toc1462"/>
      <w:bookmarkStart w:id="1478" w:name="_Toc31977"/>
      <w:bookmarkStart w:id="1479" w:name="_Toc519780979"/>
      <w:bookmarkStart w:id="1480" w:name="_Toc30009"/>
      <w:bookmarkStart w:id="1481" w:name="_Toc31336"/>
      <w:r>
        <w:rPr>
          <w:rFonts w:ascii="黑体" w:eastAsia="黑体" w:hAnsi="黑体" w:cs="黑体" w:hint="eastAsia"/>
          <w:color w:val="000000" w:themeColor="text1"/>
          <w:sz w:val="28"/>
          <w:szCs w:val="28"/>
        </w:rPr>
        <w:t>4.12.3学校博管办向上级部门递交材料及流程</w:t>
      </w:r>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校内审批通过后，将结果通知流动站并发放体检介绍信。</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进站材料审核整理后，将盖章后的电子版发送给流动站及博士后本人，以供中国博士后、广州市高层次人才系统申请和审核流程。</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使用中国博士后、广州市高层次人才系统的人事户头权限，审核电子材料并提交到上级部门。</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w:t>
      </w:r>
      <w:r>
        <w:rPr>
          <w:rFonts w:ascii="仿宋_GB2312" w:eastAsia="仿宋_GB2312" w:hAnsi="仿宋_GB2312" w:cs="仿宋_GB2312"/>
          <w:color w:val="000000" w:themeColor="text1"/>
          <w:sz w:val="24"/>
          <w:szCs w:val="24"/>
        </w:rPr>
        <w:t>审核整理纸质材料，提交给市人社局专技处博管办。待市审批通过后提交省人社厅专技处博管办。</w:t>
      </w:r>
    </w:p>
    <w:p w:rsidR="00E37845" w:rsidRDefault="00E22BDD">
      <w:pPr>
        <w:widowControl/>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br w:type="page"/>
      </w:r>
    </w:p>
    <w:p w:rsidR="00E37845" w:rsidRDefault="00E22BDD">
      <w:pPr>
        <w:pStyle w:val="1"/>
        <w:jc w:val="center"/>
        <w:rPr>
          <w:rFonts w:ascii="方正小标宋简体" w:eastAsia="方正小标宋简体" w:hAnsi="方正小标宋简体" w:cs="方正小标宋简体"/>
          <w:sz w:val="44"/>
        </w:rPr>
      </w:pPr>
      <w:bookmarkStart w:id="1482" w:name="_Toc6703"/>
      <w:r>
        <w:rPr>
          <w:rFonts w:ascii="方正小标宋简体" w:eastAsia="方正小标宋简体" w:hAnsi="方正小标宋简体" w:cs="方正小标宋简体" w:hint="eastAsia"/>
          <w:sz w:val="44"/>
        </w:rPr>
        <w:lastRenderedPageBreak/>
        <w:t>第三篇  教学科研</w:t>
      </w:r>
      <w:bookmarkEnd w:id="1482"/>
    </w:p>
    <w:p w:rsidR="00E37845" w:rsidRDefault="00E22BDD">
      <w:pPr>
        <w:pStyle w:val="1"/>
        <w:adjustRightInd w:val="0"/>
        <w:snapToGrid w:val="0"/>
        <w:spacing w:beforeLines="100" w:before="312" w:afterLines="100" w:after="312" w:line="360" w:lineRule="auto"/>
        <w:rPr>
          <w:rFonts w:ascii="微软雅黑" w:eastAsia="微软雅黑" w:hAnsi="微软雅黑" w:cs="微软雅黑"/>
        </w:rPr>
      </w:pPr>
      <w:bookmarkStart w:id="1483" w:name="_Toc20467"/>
      <w:bookmarkStart w:id="1484" w:name="_Toc19163"/>
      <w:bookmarkStart w:id="1485" w:name="_Toc10939"/>
      <w:bookmarkStart w:id="1486" w:name="_Toc19882"/>
      <w:bookmarkStart w:id="1487" w:name="_Toc11921"/>
      <w:bookmarkStart w:id="1488" w:name="_Toc519780980"/>
      <w:bookmarkStart w:id="1489" w:name="_Toc15208"/>
      <w:bookmarkStart w:id="1490" w:name="_Toc28512"/>
      <w:bookmarkStart w:id="1491" w:name="_Toc2241"/>
      <w:bookmarkStart w:id="1492" w:name="_Toc8501"/>
      <w:bookmarkStart w:id="1493" w:name="_Toc1838"/>
      <w:bookmarkStart w:id="1494" w:name="_Toc5756"/>
      <w:bookmarkStart w:id="1495" w:name="_Toc31544"/>
      <w:bookmarkStart w:id="1496" w:name="_Toc29126"/>
      <w:bookmarkStart w:id="1497" w:name="_Toc28072"/>
      <w:bookmarkStart w:id="1498" w:name="_Toc5341"/>
      <w:bookmarkStart w:id="1499" w:name="_Toc21071"/>
      <w:bookmarkStart w:id="1500" w:name="_Toc24987"/>
      <w:bookmarkStart w:id="1501" w:name="_Toc4277"/>
      <w:bookmarkStart w:id="1502" w:name="_Toc23687"/>
      <w:bookmarkStart w:id="1503" w:name="_Toc28451"/>
      <w:bookmarkStart w:id="1504" w:name="_Toc24254"/>
      <w:bookmarkStart w:id="1505" w:name="_Toc8920"/>
      <w:bookmarkStart w:id="1506" w:name="_Toc17605"/>
      <w:bookmarkStart w:id="1507" w:name="_Toc29697"/>
      <w:bookmarkStart w:id="1508" w:name="_Toc32177"/>
      <w:r>
        <w:rPr>
          <w:rFonts w:ascii="微软雅黑" w:eastAsia="微软雅黑" w:hAnsi="微软雅黑" w:cs="微软雅黑" w:hint="eastAsia"/>
        </w:rPr>
        <w:t>5.本科教学</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509" w:name="_Toc10180"/>
      <w:bookmarkStart w:id="1510" w:name="_Toc811"/>
      <w:bookmarkStart w:id="1511" w:name="_Toc25653"/>
      <w:bookmarkStart w:id="1512" w:name="_Toc519780981"/>
      <w:bookmarkStart w:id="1513" w:name="_Toc11464"/>
      <w:bookmarkStart w:id="1514" w:name="_Toc21898"/>
      <w:bookmarkStart w:id="1515" w:name="_Toc17222"/>
      <w:bookmarkStart w:id="1516" w:name="_Toc24862"/>
      <w:bookmarkStart w:id="1517" w:name="_Toc26894"/>
      <w:bookmarkStart w:id="1518" w:name="_Toc21513"/>
      <w:bookmarkStart w:id="1519" w:name="_Toc516688904"/>
      <w:bookmarkStart w:id="1520" w:name="_Toc23030"/>
      <w:bookmarkStart w:id="1521" w:name="_Toc17543"/>
      <w:bookmarkStart w:id="1522" w:name="_Toc1717"/>
      <w:bookmarkStart w:id="1523" w:name="_Toc27850"/>
      <w:bookmarkStart w:id="1524" w:name="_Toc29051"/>
      <w:bookmarkStart w:id="1525" w:name="_Toc1594"/>
      <w:bookmarkStart w:id="1526" w:name="_Toc19167"/>
      <w:bookmarkStart w:id="1527" w:name="_Toc9952"/>
      <w:bookmarkStart w:id="1528" w:name="_Toc19320"/>
      <w:bookmarkStart w:id="1529" w:name="_Toc32215"/>
      <w:bookmarkStart w:id="1530" w:name="_Toc10395"/>
      <w:bookmarkStart w:id="1531" w:name="_Toc31328"/>
      <w:bookmarkStart w:id="1532" w:name="_Toc25323"/>
      <w:bookmarkStart w:id="1533" w:name="_Toc22993"/>
      <w:bookmarkStart w:id="1534" w:name="_Toc14965"/>
      <w:bookmarkStart w:id="1535" w:name="_Toc25439"/>
      <w:bookmarkStart w:id="1536" w:name="_Toc30728"/>
      <w:bookmarkStart w:id="1537" w:name="_Toc3863"/>
      <w:bookmarkStart w:id="1538" w:name="_Toc31501"/>
      <w:r>
        <w:rPr>
          <w:rFonts w:ascii="黑体" w:eastAsia="黑体" w:hAnsi="黑体" w:cs="黑体" w:hint="eastAsia"/>
          <w:color w:val="000000" w:themeColor="text1"/>
          <w:sz w:val="28"/>
          <w:szCs w:val="28"/>
        </w:rPr>
        <w:t>5.1 青年教师基本素质培养</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r>
        <w:rPr>
          <w:rFonts w:ascii="黑体" w:eastAsia="黑体" w:hAnsi="黑体" w:cs="黑体" w:hint="eastAsia"/>
          <w:color w:val="000000" w:themeColor="text1"/>
          <w:sz w:val="28"/>
          <w:szCs w:val="28"/>
        </w:rPr>
        <w:t>（详见广大〔2017〕304号）</w:t>
      </w:r>
      <w:bookmarkEnd w:id="1532"/>
      <w:bookmarkEnd w:id="1533"/>
      <w:bookmarkEnd w:id="1534"/>
      <w:bookmarkEnd w:id="1535"/>
      <w:bookmarkEnd w:id="1536"/>
      <w:bookmarkEnd w:id="1537"/>
      <w:bookmarkEnd w:id="1538"/>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培养对象。</w:t>
      </w:r>
      <w:r>
        <w:rPr>
          <w:rFonts w:ascii="仿宋_GB2312" w:eastAsia="仿宋_GB2312" w:hAnsi="仿宋_GB2312" w:cs="仿宋_GB2312" w:hint="eastAsia"/>
          <w:color w:val="000000" w:themeColor="text1"/>
          <w:sz w:val="24"/>
          <w:szCs w:val="24"/>
        </w:rPr>
        <w:t>教学岗位新近录用的、年龄在</w:t>
      </w:r>
      <w:r>
        <w:rPr>
          <w:rFonts w:ascii="仿宋_GB2312" w:eastAsia="仿宋_GB2312" w:hAnsi="仿宋_GB2312" w:cs="仿宋_GB2312"/>
          <w:color w:val="000000" w:themeColor="text1"/>
          <w:sz w:val="24"/>
          <w:szCs w:val="24"/>
        </w:rPr>
        <w:t>35岁以下，且国内高校教学经历不足1年或无高校教师资格证的拟承担本科教学任务的教师。</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培养措施:</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实行导师制。每位青年教师必须配备1名教学水平较高、有一定学术造诣、治学严谨的中老年(副高及以上职称)教师担任指导教师（下称导师）。导师由青年教师所在系(或教研室)主任推荐，院长聘请，聘期与青年教师的培养期限一致。非教学单位青年教师的教学能力培养须委托与青年教师专业相同（相近）的学院或青年教师拟任本科课程所在学院进行。</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实行助教制。青年教师必须在导师指导下从事助教工作，工作内容包括：听课、备课、辅导答疑、上习题课、组织课堂讨论、批改作业、指导实验、实习、毕业论文（设计），以及在导师指导下编写试教课的教学设计、讲义与课件，进行部分章节的试讲、说课、试教等。青年教师在培养期间不得独立承担任何课程的主讲任务。</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教学任课资格审核。</w:t>
      </w:r>
      <w:r>
        <w:rPr>
          <w:rFonts w:ascii="仿宋_GB2312" w:eastAsia="仿宋_GB2312" w:hAnsi="仿宋_GB2312" w:cs="仿宋_GB2312" w:hint="eastAsia"/>
          <w:color w:val="000000" w:themeColor="text1"/>
          <w:sz w:val="24"/>
          <w:szCs w:val="24"/>
        </w:rPr>
        <w:t>青年教师培养期结束前，培养学院必须组织本科教学任课资格审核。审核内容包括培养过程材料、验收课两项，具体安排需提前向教务处（教师发展与教学评估中心）报备。</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539" w:name="_Toc2644"/>
      <w:bookmarkStart w:id="1540" w:name="_Toc11738"/>
      <w:bookmarkStart w:id="1541" w:name="_Toc516688905"/>
      <w:bookmarkStart w:id="1542" w:name="_Toc22854"/>
      <w:bookmarkStart w:id="1543" w:name="_Toc10665"/>
      <w:bookmarkStart w:id="1544" w:name="_Toc7784"/>
      <w:bookmarkStart w:id="1545" w:name="_Toc5168"/>
      <w:bookmarkStart w:id="1546" w:name="_Toc384"/>
      <w:bookmarkStart w:id="1547" w:name="_Toc9037"/>
      <w:bookmarkStart w:id="1548" w:name="_Toc27405"/>
      <w:bookmarkStart w:id="1549" w:name="_Toc4373"/>
      <w:bookmarkStart w:id="1550" w:name="_Toc7975"/>
      <w:bookmarkStart w:id="1551" w:name="_Toc519780982"/>
      <w:bookmarkStart w:id="1552" w:name="_Toc15082"/>
      <w:bookmarkStart w:id="1553" w:name="_Toc20363"/>
      <w:bookmarkStart w:id="1554" w:name="_Toc22707"/>
      <w:bookmarkStart w:id="1555" w:name="_Toc6736"/>
      <w:bookmarkStart w:id="1556" w:name="_Toc9976"/>
      <w:bookmarkStart w:id="1557" w:name="_Toc32232"/>
      <w:bookmarkStart w:id="1558" w:name="_Toc17061"/>
      <w:bookmarkStart w:id="1559" w:name="_Toc25618"/>
      <w:bookmarkStart w:id="1560" w:name="_Toc778"/>
      <w:bookmarkStart w:id="1561" w:name="_Toc17262"/>
      <w:bookmarkStart w:id="1562" w:name="_Toc27406"/>
      <w:bookmarkStart w:id="1563" w:name="_Toc21285"/>
      <w:bookmarkStart w:id="1564" w:name="_Toc28768"/>
      <w:bookmarkStart w:id="1565" w:name="_Toc2495"/>
      <w:bookmarkStart w:id="1566" w:name="_Toc9774"/>
      <w:bookmarkStart w:id="1567" w:name="_Toc1262"/>
      <w:bookmarkStart w:id="1568" w:name="_Toc22991"/>
      <w:r>
        <w:rPr>
          <w:rFonts w:ascii="黑体" w:eastAsia="黑体" w:hAnsi="黑体" w:cs="黑体" w:hint="eastAsia"/>
          <w:color w:val="000000" w:themeColor="text1"/>
          <w:sz w:val="28"/>
          <w:szCs w:val="28"/>
        </w:rPr>
        <w:t>5.2 教学工作</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r>
        <w:rPr>
          <w:rFonts w:ascii="黑体" w:eastAsia="黑体" w:hAnsi="黑体" w:cs="黑体" w:hint="eastAsia"/>
          <w:color w:val="000000" w:themeColor="text1"/>
          <w:sz w:val="28"/>
          <w:szCs w:val="28"/>
        </w:rPr>
        <w:t>（详见广大〔2014〕49号）</w:t>
      </w:r>
      <w:bookmarkEnd w:id="1563"/>
      <w:bookmarkEnd w:id="1564"/>
      <w:bookmarkEnd w:id="1565"/>
      <w:bookmarkEnd w:id="1566"/>
      <w:bookmarkEnd w:id="1567"/>
      <w:bookmarkEnd w:id="1568"/>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569" w:name="_Toc32459"/>
      <w:bookmarkStart w:id="1570" w:name="_Toc28364"/>
      <w:bookmarkStart w:id="1571" w:name="_Toc32467"/>
      <w:bookmarkStart w:id="1572" w:name="_Toc27638"/>
      <w:bookmarkStart w:id="1573" w:name="_Toc13743"/>
      <w:bookmarkStart w:id="1574" w:name="_Toc32282"/>
      <w:bookmarkStart w:id="1575" w:name="_Toc28421"/>
      <w:bookmarkStart w:id="1576" w:name="_Toc18177"/>
      <w:bookmarkStart w:id="1577" w:name="_Toc12883"/>
      <w:bookmarkStart w:id="1578" w:name="_Toc25384"/>
      <w:bookmarkStart w:id="1579" w:name="_Toc2011"/>
      <w:bookmarkStart w:id="1580" w:name="_Toc26270"/>
      <w:bookmarkStart w:id="1581" w:name="_Toc516688906"/>
      <w:bookmarkStart w:id="1582" w:name="_Toc8597"/>
      <w:bookmarkStart w:id="1583" w:name="_Toc7544"/>
      <w:bookmarkStart w:id="1584" w:name="_Toc3254"/>
      <w:bookmarkStart w:id="1585" w:name="_Toc14613"/>
      <w:bookmarkStart w:id="1586" w:name="_Toc32142"/>
      <w:bookmarkStart w:id="1587" w:name="_Toc24709"/>
      <w:bookmarkStart w:id="1588" w:name="_Toc30527"/>
      <w:bookmarkStart w:id="1589" w:name="_Toc20128"/>
      <w:bookmarkStart w:id="1590" w:name="_Toc31902"/>
      <w:bookmarkStart w:id="1591" w:name="_Toc18260"/>
      <w:bookmarkStart w:id="1592" w:name="_Toc23275"/>
      <w:bookmarkStart w:id="1593" w:name="_Toc16069"/>
      <w:bookmarkStart w:id="1594" w:name="_Toc5228"/>
      <w:bookmarkStart w:id="1595" w:name="_Toc519780983"/>
      <w:bookmarkStart w:id="1596" w:name="_Toc25575"/>
      <w:bookmarkStart w:id="1597" w:name="_Toc2707"/>
      <w:bookmarkStart w:id="1598" w:name="_Toc9436"/>
      <w:r>
        <w:rPr>
          <w:rFonts w:ascii="黑体" w:eastAsia="黑体" w:hAnsi="黑体" w:cs="黑体" w:hint="eastAsia"/>
          <w:color w:val="000000" w:themeColor="text1"/>
          <w:sz w:val="28"/>
          <w:szCs w:val="28"/>
        </w:rPr>
        <w:t>5.2.1 设计与备课</w:t>
      </w:r>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任课教师应认真研究教学大纲</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任课教师应认真编写教案及教学进度表</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任课教师应认真备课，设计好教学的各个环节。各环节要做到：教学内容选择要科学、丰富；教学结构的设计要严谨、多元；教学容量的判断要适当、充实；教学方法的优化要具有激励性、启发性；教学课件的设计要规范、个性。</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599" w:name="_Toc1829"/>
      <w:bookmarkStart w:id="1600" w:name="_Toc17797"/>
      <w:bookmarkStart w:id="1601" w:name="_Toc5850"/>
      <w:bookmarkStart w:id="1602" w:name="_Toc10677"/>
      <w:bookmarkStart w:id="1603" w:name="_Toc709"/>
      <w:bookmarkStart w:id="1604" w:name="_Toc16404"/>
      <w:bookmarkStart w:id="1605" w:name="_Toc5357"/>
      <w:bookmarkStart w:id="1606" w:name="_Toc30843"/>
      <w:bookmarkStart w:id="1607" w:name="_Toc28327"/>
      <w:bookmarkStart w:id="1608" w:name="_Toc22401"/>
      <w:bookmarkStart w:id="1609" w:name="_Toc15901"/>
      <w:bookmarkStart w:id="1610" w:name="_Toc25696"/>
      <w:bookmarkStart w:id="1611" w:name="_Toc519780984"/>
      <w:bookmarkStart w:id="1612" w:name="_Toc27382"/>
      <w:bookmarkStart w:id="1613" w:name="_Toc25385"/>
      <w:bookmarkStart w:id="1614" w:name="_Toc14400"/>
      <w:bookmarkStart w:id="1615" w:name="_Toc22615"/>
      <w:bookmarkStart w:id="1616" w:name="_Toc516688907"/>
      <w:bookmarkStart w:id="1617" w:name="_Toc27449"/>
      <w:bookmarkStart w:id="1618" w:name="_Toc26893"/>
      <w:bookmarkStart w:id="1619" w:name="_Toc28448"/>
      <w:bookmarkStart w:id="1620" w:name="_Toc3146"/>
      <w:bookmarkStart w:id="1621" w:name="_Toc23272"/>
      <w:bookmarkStart w:id="1622" w:name="_Toc9017"/>
      <w:bookmarkStart w:id="1623" w:name="_Toc29049"/>
      <w:bookmarkStart w:id="1624" w:name="_Toc28942"/>
      <w:bookmarkStart w:id="1625" w:name="_Toc7360"/>
      <w:bookmarkStart w:id="1626" w:name="_Toc13783"/>
      <w:bookmarkStart w:id="1627" w:name="_Toc13181"/>
      <w:bookmarkStart w:id="1628" w:name="_Toc28090"/>
      <w:r>
        <w:rPr>
          <w:rFonts w:ascii="黑体" w:eastAsia="黑体" w:hAnsi="黑体" w:cs="黑体" w:hint="eastAsia"/>
          <w:color w:val="000000" w:themeColor="text1"/>
          <w:sz w:val="28"/>
          <w:szCs w:val="28"/>
        </w:rPr>
        <w:lastRenderedPageBreak/>
        <w:t>5.2.2 课堂教学</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p>
    <w:p w:rsidR="00E37845" w:rsidRDefault="00E22BDD">
      <w:pPr>
        <w:adjustRightInd w:val="0"/>
        <w:snapToGrid w:val="0"/>
        <w:spacing w:line="336"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一、第一堂课——认真落实</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）做好课程教学准备，包括教学需要的教具、演示实验、电脑设备等的准备，使教学各个环节处于完备状态。</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）教师在课程第一堂课应阐明本课程的学习目标与要求、学习方法，教学进程安排，考勤要求，考核构成及其它相关的教学要求，如教材准备，记笔记，自主学习内容和参考书目等。</w:t>
      </w:r>
    </w:p>
    <w:p w:rsidR="00E37845" w:rsidRDefault="00E22BDD">
      <w:pPr>
        <w:adjustRightInd w:val="0"/>
        <w:snapToGrid w:val="0"/>
        <w:spacing w:line="336"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二、重点难点——突出强调</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）基本概念阐释准确，条理清晰，分析深入浅出，透彻到位。</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）课堂教学中强调主次，突出重点，讲透难点，避免教材内容的照本宣科，避免脱离主题漫无边际的发挥。建议使用合适的遥控器材，强调课程中的重点与知识点。</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）课堂板书要求书写规范，布局合理，字迹清楚，有助于学生加深对知识的理解。</w:t>
      </w:r>
    </w:p>
    <w:p w:rsidR="00E37845" w:rsidRDefault="00E22BDD">
      <w:pPr>
        <w:adjustRightInd w:val="0"/>
        <w:snapToGrid w:val="0"/>
        <w:spacing w:line="336"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三、课堂氛围——民主活跃</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）建立良好的师生关系，互相尊重。充分发挥教师个人魅力、品质、学识和修养的影响力，激发学生学习热情，共创师生民主、活跃的课堂氛围。</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）合理安排教师讲授、学生提问和教师解答的时间，培养学生的质疑精神。以教学的针对性、趣味性、灵活性，倡导课堂中师生交流、互动和研讨的氛围。</w:t>
      </w:r>
    </w:p>
    <w:p w:rsidR="00E37845" w:rsidRDefault="00E22BDD">
      <w:pPr>
        <w:adjustRightInd w:val="0"/>
        <w:snapToGrid w:val="0"/>
        <w:spacing w:line="336" w:lineRule="auto"/>
        <w:ind w:firstLineChars="200" w:firstLine="482"/>
        <w:jc w:val="left"/>
        <w:rPr>
          <w:rFonts w:ascii="仿宋_GB2312" w:eastAsia="仿宋_GB2312" w:hAnsi="仿宋_GB2312" w:cs="仿宋_GB2312"/>
          <w:color w:val="000000" w:themeColor="text1"/>
          <w:sz w:val="24"/>
          <w:szCs w:val="24"/>
        </w:rPr>
      </w:pPr>
      <w:r>
        <w:rPr>
          <w:rFonts w:ascii="黑体" w:eastAsia="黑体" w:hAnsi="黑体" w:cs="黑体" w:hint="eastAsia"/>
          <w:b/>
          <w:bCs/>
          <w:color w:val="000000" w:themeColor="text1"/>
          <w:sz w:val="24"/>
          <w:szCs w:val="24"/>
        </w:rPr>
        <w:t>四、教学效果——及时调控</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）关注学生的学习状态及情绪，及时把握课堂教学气氛。主动维护课堂教学秩序，纠正学生不良行为。发现问题及时处理，如有必要课后及时向学院或相关部门反映。</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）根据学生课堂反应，作业完成情况，适当调整授课进度和教学方法。</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629" w:name="_Toc19082"/>
      <w:bookmarkStart w:id="1630" w:name="_Toc28058"/>
      <w:bookmarkStart w:id="1631" w:name="_Toc15553"/>
      <w:bookmarkStart w:id="1632" w:name="_Toc516688908"/>
      <w:bookmarkStart w:id="1633" w:name="_Toc4854"/>
      <w:bookmarkStart w:id="1634" w:name="_Toc28128"/>
      <w:bookmarkStart w:id="1635" w:name="_Toc17518"/>
      <w:bookmarkStart w:id="1636" w:name="_Toc25993"/>
      <w:bookmarkStart w:id="1637" w:name="_Toc18707"/>
      <w:bookmarkStart w:id="1638" w:name="_Toc26415"/>
      <w:bookmarkStart w:id="1639" w:name="_Toc30752"/>
      <w:bookmarkStart w:id="1640" w:name="_Toc2359"/>
      <w:bookmarkStart w:id="1641" w:name="_Toc21726"/>
      <w:bookmarkStart w:id="1642" w:name="_Toc519780985"/>
      <w:bookmarkStart w:id="1643" w:name="_Toc29860"/>
      <w:bookmarkStart w:id="1644" w:name="_Toc9401"/>
      <w:bookmarkStart w:id="1645" w:name="_Toc8119"/>
      <w:bookmarkStart w:id="1646" w:name="_Toc27311"/>
      <w:bookmarkStart w:id="1647" w:name="_Toc10047"/>
      <w:bookmarkStart w:id="1648" w:name="_Toc17157"/>
      <w:bookmarkStart w:id="1649" w:name="_Toc30473"/>
      <w:bookmarkStart w:id="1650" w:name="_Toc31393"/>
      <w:bookmarkStart w:id="1651" w:name="_Toc6483"/>
      <w:bookmarkStart w:id="1652" w:name="_Toc3544"/>
      <w:bookmarkStart w:id="1653" w:name="_Toc12860"/>
      <w:bookmarkStart w:id="1654" w:name="_Toc29023"/>
      <w:bookmarkStart w:id="1655" w:name="_Toc30603"/>
      <w:bookmarkStart w:id="1656" w:name="_Toc13112"/>
      <w:bookmarkStart w:id="1657" w:name="_Toc28780"/>
      <w:bookmarkStart w:id="1658" w:name="_Toc4593"/>
      <w:r>
        <w:rPr>
          <w:rFonts w:ascii="黑体" w:eastAsia="黑体" w:hAnsi="黑体" w:cs="黑体" w:hint="eastAsia"/>
          <w:color w:val="000000" w:themeColor="text1"/>
          <w:sz w:val="28"/>
          <w:szCs w:val="28"/>
        </w:rPr>
        <w:t>5.2.3 辅导</w:t>
      </w:r>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辅导是课堂讲授的必要补充，对于学生作业中较为普遍存在的问题，要创造条件采用各种形式辅导，点评互评，促进学生自学、互学，提升求知欲，以弥补讲课中的疏漏。</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辅导形式灵活多样，提倡利用网络，线上线下辅导，教师根据学生具体情况因材施教。</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及时、认真批改，指出作业中优点和错误之处，着重解决学生疑难问题，启发学生独立思考，指导学生改进思维方法与学习方法。</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659" w:name="_Toc160"/>
      <w:bookmarkStart w:id="1660" w:name="_Toc3243"/>
      <w:bookmarkStart w:id="1661" w:name="_Toc30854"/>
      <w:bookmarkStart w:id="1662" w:name="_Toc15178"/>
      <w:bookmarkStart w:id="1663" w:name="_Toc23193"/>
      <w:bookmarkStart w:id="1664" w:name="_Toc24884"/>
      <w:bookmarkStart w:id="1665" w:name="_Toc23473"/>
      <w:bookmarkStart w:id="1666" w:name="_Toc19533"/>
      <w:bookmarkStart w:id="1667" w:name="_Toc16128"/>
      <w:bookmarkStart w:id="1668" w:name="_Toc25489"/>
      <w:bookmarkStart w:id="1669" w:name="_Toc15106"/>
      <w:bookmarkStart w:id="1670" w:name="_Toc7469"/>
      <w:bookmarkStart w:id="1671" w:name="_Toc516688909"/>
      <w:bookmarkStart w:id="1672" w:name="_Toc28308"/>
      <w:bookmarkStart w:id="1673" w:name="_Toc20743"/>
      <w:bookmarkStart w:id="1674" w:name="_Toc8296"/>
      <w:bookmarkStart w:id="1675" w:name="_Toc17236"/>
      <w:bookmarkStart w:id="1676" w:name="_Toc31242"/>
      <w:bookmarkStart w:id="1677" w:name="_Toc519780986"/>
      <w:bookmarkStart w:id="1678" w:name="_Toc12669"/>
      <w:bookmarkStart w:id="1679" w:name="_Toc4032"/>
      <w:bookmarkStart w:id="1680" w:name="_Toc19659"/>
      <w:bookmarkStart w:id="1681" w:name="_Toc2549"/>
      <w:bookmarkStart w:id="1682" w:name="_Toc27950"/>
      <w:bookmarkStart w:id="1683" w:name="_Toc12989"/>
      <w:bookmarkStart w:id="1684" w:name="_Toc21401"/>
      <w:bookmarkStart w:id="1685" w:name="_Toc13125"/>
      <w:bookmarkStart w:id="1686" w:name="_Toc12312"/>
      <w:bookmarkStart w:id="1687" w:name="_Toc18716"/>
      <w:bookmarkStart w:id="1688" w:name="_Toc23705"/>
      <w:r>
        <w:rPr>
          <w:rFonts w:ascii="黑体" w:eastAsia="黑体" w:hAnsi="黑体" w:cs="黑体" w:hint="eastAsia"/>
          <w:color w:val="000000" w:themeColor="text1"/>
          <w:sz w:val="28"/>
          <w:szCs w:val="28"/>
        </w:rPr>
        <w:lastRenderedPageBreak/>
        <w:t>5.2.4 作业</w:t>
      </w:r>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教师作业布置，应根据教学大纲的要求及课程的特点做到目的明确、数量适中、难度适当。</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作业设计应采用多样化、开放式的形式进行多方面考核。从学生认知角度培养学生独立思考能力；从技能角度培养学生动手动脑的能力；从信息社会发展的角度培养学生团队合作、分享交流的能力。</w:t>
      </w:r>
    </w:p>
    <w:p w:rsidR="00E37845" w:rsidRDefault="00E22BDD">
      <w:pPr>
        <w:adjustRightInd w:val="0"/>
        <w:snapToGrid w:val="0"/>
        <w:spacing w:line="336" w:lineRule="auto"/>
        <w:ind w:firstLineChars="200" w:firstLine="480"/>
        <w:jc w:val="left"/>
        <w:rPr>
          <w:rFonts w:ascii="黑体" w:eastAsia="黑体" w:hAnsi="黑体" w:cs="黑体"/>
          <w:b/>
          <w:bCs/>
          <w:color w:val="000000" w:themeColor="text1"/>
          <w:kern w:val="44"/>
          <w:sz w:val="28"/>
          <w:szCs w:val="28"/>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严格要求学生认真完成作业。教师布置作业时，应指定交作业的时间。对潦草、马虎、不符合要求的作业，应退回令其重做。</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689" w:name="_Toc13086"/>
      <w:bookmarkStart w:id="1690" w:name="_Toc2146"/>
      <w:bookmarkStart w:id="1691" w:name="_Toc3887"/>
      <w:bookmarkStart w:id="1692" w:name="_Toc25683"/>
      <w:bookmarkStart w:id="1693" w:name="_Toc1265"/>
      <w:bookmarkStart w:id="1694" w:name="_Toc519780987"/>
      <w:bookmarkStart w:id="1695" w:name="_Toc335"/>
      <w:bookmarkStart w:id="1696" w:name="_Toc17482"/>
      <w:bookmarkStart w:id="1697" w:name="_Toc400"/>
      <w:bookmarkStart w:id="1698" w:name="_Toc516688910"/>
      <w:bookmarkStart w:id="1699" w:name="_Toc2230"/>
      <w:bookmarkStart w:id="1700" w:name="_Toc31828"/>
      <w:bookmarkStart w:id="1701" w:name="_Toc5713"/>
      <w:bookmarkStart w:id="1702" w:name="_Toc2408"/>
      <w:bookmarkStart w:id="1703" w:name="_Toc7706"/>
      <w:bookmarkStart w:id="1704" w:name="_Toc12935"/>
      <w:bookmarkStart w:id="1705" w:name="_Toc13270"/>
      <w:bookmarkStart w:id="1706" w:name="_Toc18518"/>
      <w:bookmarkStart w:id="1707" w:name="_Toc17115"/>
      <w:bookmarkStart w:id="1708" w:name="_Toc5156"/>
      <w:bookmarkStart w:id="1709" w:name="_Toc9841"/>
      <w:bookmarkStart w:id="1710" w:name="_Toc26418"/>
      <w:bookmarkStart w:id="1711" w:name="_Toc24139"/>
      <w:bookmarkStart w:id="1712" w:name="_Toc5235"/>
      <w:bookmarkStart w:id="1713" w:name="_Toc4480"/>
      <w:bookmarkStart w:id="1714" w:name="_Toc16909"/>
      <w:bookmarkStart w:id="1715" w:name="_Toc25201"/>
      <w:bookmarkStart w:id="1716" w:name="_Toc2521"/>
      <w:bookmarkStart w:id="1717" w:name="_Toc30240"/>
      <w:bookmarkStart w:id="1718" w:name="_Toc11755"/>
      <w:r>
        <w:rPr>
          <w:rFonts w:ascii="黑体" w:eastAsia="黑体" w:hAnsi="黑体" w:cs="黑体" w:hint="eastAsia"/>
          <w:color w:val="000000" w:themeColor="text1"/>
          <w:sz w:val="28"/>
          <w:szCs w:val="28"/>
        </w:rPr>
        <w:t>5.2.5 实验教学</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r>
        <w:rPr>
          <w:rFonts w:ascii="黑体" w:eastAsia="黑体" w:hAnsi="黑体" w:cs="黑体" w:hint="eastAsia"/>
          <w:color w:val="000000" w:themeColor="text1"/>
          <w:sz w:val="28"/>
          <w:szCs w:val="28"/>
        </w:rPr>
        <w:t>（详见广大〔2017〕315号）</w:t>
      </w:r>
      <w:bookmarkEnd w:id="1712"/>
      <w:bookmarkEnd w:id="1713"/>
      <w:bookmarkEnd w:id="1714"/>
      <w:bookmarkEnd w:id="1715"/>
      <w:bookmarkEnd w:id="1716"/>
      <w:bookmarkEnd w:id="1717"/>
      <w:bookmarkEnd w:id="1718"/>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实验教师要认真履行岗位职责，为人师表，教书育人</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实验教师必须按照实验课程教学大纲规定的实验项目，在规定时间内在实验教学综合信息应用平台上制定好《实验教学进度表》，于开课前打印提交至开课实验室；变更实验项目需填写《广州大学实验项目变更申请表》，并按课表上课。因特殊原因需要调、停课的，按照广州大学实验课程排课微调和调停课工作的规定办理，并送交1份审批通过的《广州大学停课、调课审批表》给开课实验室</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对拟新开实验项目，要求实验教师进行试做，并填写《广州大学新开实验项目申请表》，提供实验课程教学大纲、实验教材或实验指导书、试做记录和实验报告</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w:t>
      </w:r>
      <w:r>
        <w:rPr>
          <w:rFonts w:ascii="仿宋_GB2312" w:eastAsia="仿宋_GB2312" w:hAnsi="仿宋_GB2312" w:cs="仿宋_GB2312"/>
          <w:color w:val="000000" w:themeColor="text1"/>
          <w:sz w:val="24"/>
          <w:szCs w:val="24"/>
        </w:rPr>
        <w:t>实验教师要检查学生的预习情况；在实验教学过程中要认真巡查学生操作情况、及时给予指导，指导参加实验的学生人数必须做好记录，对不遵守规章制度、违反操作规程或不听指导的学生，实验教师责令停止其实验；实验完成后，实验教师要检查实验原始数据，并签字认可</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五、</w:t>
      </w:r>
      <w:r>
        <w:rPr>
          <w:rFonts w:ascii="仿宋_GB2312" w:eastAsia="仿宋_GB2312" w:hAnsi="仿宋_GB2312" w:cs="仿宋_GB2312"/>
          <w:color w:val="000000" w:themeColor="text1"/>
          <w:sz w:val="24"/>
          <w:szCs w:val="24"/>
        </w:rPr>
        <w:t>实验教师要认真批改实验报告和作业，制定考核办法与标准，做好实验成绩的考核和记载；对不合要求的实验报告应退回重做；对抄袭他人者，应严肃查处</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六、</w:t>
      </w:r>
      <w:r>
        <w:rPr>
          <w:rFonts w:ascii="仿宋_GB2312" w:eastAsia="仿宋_GB2312" w:hAnsi="仿宋_GB2312" w:cs="仿宋_GB2312"/>
          <w:color w:val="000000" w:themeColor="text1"/>
          <w:sz w:val="24"/>
          <w:szCs w:val="24"/>
        </w:rPr>
        <w:t>及时按实验室要求整理实验报告、成绩单等所有实验教学文档资料，于开课学期最后一周前交开课实验室签收</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七、</w:t>
      </w:r>
      <w:r>
        <w:rPr>
          <w:rFonts w:ascii="仿宋_GB2312" w:eastAsia="仿宋_GB2312" w:hAnsi="仿宋_GB2312" w:cs="仿宋_GB2312"/>
          <w:color w:val="000000" w:themeColor="text1"/>
          <w:sz w:val="24"/>
          <w:szCs w:val="24"/>
        </w:rPr>
        <w:t>严格遵守实验室安全操作规程，加强对学生的安全教育和过程指导，不得擅离职守。</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719" w:name="_Toc11426"/>
      <w:bookmarkStart w:id="1720" w:name="_Toc10546"/>
      <w:bookmarkStart w:id="1721" w:name="_Toc3602"/>
      <w:bookmarkStart w:id="1722" w:name="_Toc22580"/>
      <w:bookmarkStart w:id="1723" w:name="_Toc31320"/>
      <w:bookmarkStart w:id="1724" w:name="_Toc6170"/>
      <w:bookmarkStart w:id="1725" w:name="_Toc3390"/>
      <w:bookmarkStart w:id="1726" w:name="_Toc13101"/>
      <w:bookmarkStart w:id="1727" w:name="_Toc30625"/>
      <w:bookmarkStart w:id="1728" w:name="_Toc12830"/>
      <w:bookmarkStart w:id="1729" w:name="_Toc395"/>
      <w:bookmarkStart w:id="1730" w:name="_Toc24814"/>
      <w:bookmarkStart w:id="1731" w:name="_Toc519780988"/>
      <w:bookmarkStart w:id="1732" w:name="_Toc10153"/>
      <w:bookmarkStart w:id="1733" w:name="_Toc19652"/>
      <w:bookmarkStart w:id="1734" w:name="_Toc9185"/>
      <w:bookmarkStart w:id="1735" w:name="_Toc10161"/>
      <w:bookmarkStart w:id="1736" w:name="_Toc1866"/>
      <w:bookmarkStart w:id="1737" w:name="_Toc30462"/>
      <w:bookmarkStart w:id="1738" w:name="_Toc26823"/>
      <w:bookmarkStart w:id="1739" w:name="_Toc516688911"/>
      <w:bookmarkStart w:id="1740" w:name="_Toc19857"/>
      <w:bookmarkStart w:id="1741" w:name="_Toc30061"/>
      <w:bookmarkStart w:id="1742" w:name="_Toc513"/>
      <w:bookmarkStart w:id="1743" w:name="_Toc6663"/>
      <w:bookmarkStart w:id="1744" w:name="_Toc15695"/>
      <w:bookmarkStart w:id="1745" w:name="_Toc6699"/>
      <w:bookmarkStart w:id="1746" w:name="_Toc24938"/>
      <w:bookmarkStart w:id="1747" w:name="_Toc23610"/>
      <w:bookmarkStart w:id="1748" w:name="_Toc24707"/>
      <w:r>
        <w:rPr>
          <w:rFonts w:ascii="黑体" w:eastAsia="黑体" w:hAnsi="黑体" w:cs="黑体" w:hint="eastAsia"/>
          <w:color w:val="000000" w:themeColor="text1"/>
          <w:sz w:val="28"/>
          <w:szCs w:val="28"/>
        </w:rPr>
        <w:t>5.2.6 实习教学</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各院、系应选派有实践教学经验、业务能力和责任心强、对实习单位比较熟悉、</w:t>
      </w:r>
      <w:r>
        <w:rPr>
          <w:rFonts w:ascii="仿宋_GB2312" w:eastAsia="仿宋_GB2312" w:hAnsi="仿宋_GB2312" w:cs="仿宋_GB2312"/>
          <w:color w:val="000000" w:themeColor="text1"/>
          <w:sz w:val="24"/>
          <w:szCs w:val="24"/>
        </w:rPr>
        <w:lastRenderedPageBreak/>
        <w:t>有一定组织管理能力、具有中级（博士）及以上技术职称的教师担任实习指导教师</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实习指导教师必须做到以身作则、为人师表，教书育人。要帮助学生解决在实习中遇到的思想、学习、生活和安全问题</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根据实习大纲，结合实习单位的具体情况，制订切实可行的实习计划，并组织实施，不得随意取消或减少实习环节或内容，实习教学应以学生独立操作为主，指导教师示范表演、讲解为辅。</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w:t>
      </w:r>
      <w:r>
        <w:rPr>
          <w:rFonts w:ascii="仿宋_GB2312" w:eastAsia="仿宋_GB2312" w:hAnsi="仿宋_GB2312" w:cs="仿宋_GB2312"/>
          <w:color w:val="000000" w:themeColor="text1"/>
          <w:sz w:val="24"/>
          <w:szCs w:val="24"/>
        </w:rPr>
        <w:t>积极做好出发前的实习动员工作。认真学习实习管理规定，进行安全和保密教育，准备好实习资料和劳保用品</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五、</w:t>
      </w:r>
      <w:r>
        <w:rPr>
          <w:rFonts w:ascii="仿宋_GB2312" w:eastAsia="仿宋_GB2312" w:hAnsi="仿宋_GB2312" w:cs="仿宋_GB2312"/>
          <w:color w:val="000000" w:themeColor="text1"/>
          <w:sz w:val="24"/>
          <w:szCs w:val="24"/>
        </w:rPr>
        <w:t>实行逐日考勤制度，对违纪学生及时处理；对情节严重、且屡教不改者，可停止其实习</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六、</w:t>
      </w:r>
      <w:r>
        <w:rPr>
          <w:rFonts w:ascii="仿宋_GB2312" w:eastAsia="仿宋_GB2312" w:hAnsi="仿宋_GB2312" w:cs="仿宋_GB2312"/>
          <w:color w:val="000000" w:themeColor="text1"/>
          <w:sz w:val="24"/>
          <w:szCs w:val="24"/>
        </w:rPr>
        <w:t>指导教师在指导实习期间不得擅自离开岗位从事其他工作，实习中如遇到特殊情况不能指导实习，</w:t>
      </w:r>
      <w:r>
        <w:rPr>
          <w:rFonts w:ascii="仿宋_GB2312" w:eastAsia="仿宋_GB2312" w:hAnsi="仿宋_GB2312" w:cs="仿宋_GB2312" w:hint="eastAsia"/>
          <w:color w:val="000000" w:themeColor="text1"/>
          <w:sz w:val="24"/>
          <w:szCs w:val="24"/>
        </w:rPr>
        <w:t>需填写《广州大学本科生实习计划变更申请表》，经主管领导同意，签批后送交实践教学科。</w:t>
      </w:r>
      <w:r>
        <w:rPr>
          <w:rFonts w:ascii="仿宋_GB2312" w:eastAsia="仿宋_GB2312" w:hAnsi="仿宋_GB2312" w:cs="仿宋_GB2312"/>
          <w:color w:val="000000" w:themeColor="text1"/>
          <w:sz w:val="24"/>
          <w:szCs w:val="24"/>
        </w:rPr>
        <w:t>如在规定的指导时间内指导教师未在实习地点进行指导或压缩实习时间，则以教学事故论处（一天按4节课计算）</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七、</w:t>
      </w:r>
      <w:r>
        <w:rPr>
          <w:rFonts w:ascii="仿宋_GB2312" w:eastAsia="仿宋_GB2312" w:hAnsi="仿宋_GB2312" w:cs="仿宋_GB2312"/>
          <w:color w:val="000000" w:themeColor="text1"/>
          <w:sz w:val="24"/>
          <w:szCs w:val="24"/>
        </w:rPr>
        <w:t>实习结束后，学生要认真做好书面总结。指导教师应会同实习单位做好学生的鉴定，根据实习成绩评定标准做好学生实习成绩的评定，完成实习生的鉴定和实习总结。</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bookmarkStart w:id="1749" w:name="_Toc12785"/>
      <w:bookmarkStart w:id="1750" w:name="_Toc14899"/>
      <w:bookmarkStart w:id="1751" w:name="_Toc516688912"/>
      <w:r>
        <w:rPr>
          <w:rFonts w:ascii="仿宋_GB2312" w:eastAsia="仿宋_GB2312" w:hAnsi="仿宋_GB2312" w:cs="仿宋_GB2312" w:hint="eastAsia"/>
          <w:color w:val="000000" w:themeColor="text1"/>
          <w:sz w:val="24"/>
          <w:szCs w:val="24"/>
        </w:rPr>
        <w:t>详见《</w:t>
      </w:r>
      <w:bookmarkStart w:id="1752" w:name="_Toc507192863"/>
      <w:r>
        <w:rPr>
          <w:rFonts w:ascii="仿宋_GB2312" w:eastAsia="仿宋_GB2312" w:hAnsi="仿宋_GB2312" w:cs="仿宋_GB2312" w:hint="eastAsia"/>
          <w:color w:val="000000" w:themeColor="text1"/>
          <w:sz w:val="24"/>
          <w:szCs w:val="24"/>
        </w:rPr>
        <w:t>广州大学实习工作管理规定</w:t>
      </w:r>
      <w:bookmarkEnd w:id="1752"/>
      <w:r>
        <w:rPr>
          <w:rFonts w:ascii="仿宋_GB2312" w:eastAsia="仿宋_GB2312" w:hAnsi="仿宋_GB2312" w:cs="仿宋_GB2312" w:hint="eastAsia"/>
          <w:color w:val="000000" w:themeColor="text1"/>
          <w:sz w:val="24"/>
          <w:szCs w:val="24"/>
        </w:rPr>
        <w:t>》、</w:t>
      </w:r>
      <w:bookmarkStart w:id="1753" w:name="_Toc507192876"/>
      <w:r>
        <w:rPr>
          <w:rFonts w:ascii="仿宋_GB2312" w:eastAsia="仿宋_GB2312" w:hAnsi="仿宋_GB2312" w:cs="仿宋_GB2312" w:hint="eastAsia"/>
          <w:color w:val="000000" w:themeColor="text1"/>
          <w:sz w:val="24"/>
          <w:szCs w:val="24"/>
        </w:rPr>
        <w:t>《广州大学本科生分散实习管理规定</w:t>
      </w:r>
      <w:bookmarkStart w:id="1754" w:name="_Toc507192877"/>
      <w:r>
        <w:rPr>
          <w:rFonts w:ascii="仿宋_GB2312" w:eastAsia="仿宋_GB2312" w:hAnsi="仿宋_GB2312" w:cs="仿宋_GB2312" w:hint="eastAsia"/>
          <w:color w:val="000000" w:themeColor="text1"/>
          <w:sz w:val="24"/>
          <w:szCs w:val="24"/>
        </w:rPr>
        <w:t>（试行）</w:t>
      </w:r>
      <w:bookmarkEnd w:id="1754"/>
      <w:r>
        <w:rPr>
          <w:rFonts w:ascii="仿宋_GB2312" w:eastAsia="仿宋_GB2312" w:hAnsi="仿宋_GB2312" w:cs="仿宋_GB2312" w:hint="eastAsia"/>
          <w:color w:val="000000" w:themeColor="text1"/>
          <w:sz w:val="24"/>
          <w:szCs w:val="24"/>
        </w:rPr>
        <w:t>》</w:t>
      </w:r>
      <w:bookmarkEnd w:id="1753"/>
      <w:r>
        <w:rPr>
          <w:rFonts w:ascii="仿宋_GB2312" w:eastAsia="仿宋_GB2312" w:hAnsi="仿宋_GB2312" w:cs="仿宋_GB2312" w:hint="eastAsia"/>
          <w:color w:val="000000" w:themeColor="text1"/>
          <w:sz w:val="24"/>
          <w:szCs w:val="24"/>
        </w:rPr>
        <w:t>等文件。</w:t>
      </w:r>
      <w:bookmarkEnd w:id="1749"/>
      <w:bookmarkEnd w:id="1750"/>
      <w:bookmarkEnd w:id="1751"/>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755" w:name="_Toc22476"/>
      <w:bookmarkStart w:id="1756" w:name="_Toc17327"/>
      <w:bookmarkStart w:id="1757" w:name="_Toc20613"/>
      <w:bookmarkStart w:id="1758" w:name="_Toc14159"/>
      <w:bookmarkStart w:id="1759" w:name="_Toc7226"/>
      <w:bookmarkStart w:id="1760" w:name="_Toc26054"/>
      <w:r>
        <w:rPr>
          <w:rFonts w:ascii="黑体" w:eastAsia="黑体" w:hAnsi="黑体" w:cs="黑体" w:hint="eastAsia"/>
          <w:color w:val="000000" w:themeColor="text1"/>
          <w:sz w:val="28"/>
          <w:szCs w:val="28"/>
        </w:rPr>
        <w:t>5.2.7 课程设计（论文）和综合设计（学年论文）（详见教务〔2017〕182号）</w:t>
      </w:r>
      <w:bookmarkEnd w:id="1755"/>
      <w:bookmarkEnd w:id="1756"/>
      <w:bookmarkEnd w:id="1757"/>
      <w:bookmarkEnd w:id="1758"/>
      <w:bookmarkEnd w:id="1759"/>
      <w:bookmarkEnd w:id="1760"/>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1个教学班安排2名指导教师（学生人数少于20名，可安排1名指导教师）</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指导教师在接受课程设计（论文）或综合设计（学年论文）教学任务后，要作好充分的前期准备工作（包括选题、任务的安排、参考资料和指导计划等）</w:t>
      </w:r>
      <w:r>
        <w:rPr>
          <w:rFonts w:ascii="仿宋_GB2312" w:eastAsia="仿宋_GB2312" w:hAnsi="仿宋_GB2312" w:cs="仿宋_GB2312" w:hint="eastAsia"/>
          <w:color w:val="000000" w:themeColor="text1"/>
          <w:sz w:val="24"/>
          <w:szCs w:val="24"/>
        </w:rPr>
        <w:t>。</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教师要加强指导，在指导过程中，既要放手让学生自己去做，又要抓住关键，及时指导。</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w:t>
      </w:r>
      <w:r>
        <w:rPr>
          <w:rFonts w:ascii="仿宋_GB2312" w:eastAsia="仿宋_GB2312" w:hAnsi="仿宋_GB2312" w:cs="仿宋_GB2312"/>
          <w:color w:val="000000" w:themeColor="text1"/>
          <w:sz w:val="24"/>
          <w:szCs w:val="24"/>
        </w:rPr>
        <w:t>课程设计（论文）或综合设计（学年论文）完成后，应组织评审或答辩，并评定课程设计（论文）或综合设计（学年论文）成绩。</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761" w:name="_Toc14610"/>
      <w:bookmarkStart w:id="1762" w:name="_Toc13115"/>
      <w:bookmarkStart w:id="1763" w:name="_Toc30384"/>
      <w:bookmarkStart w:id="1764" w:name="_Toc30822"/>
      <w:bookmarkStart w:id="1765" w:name="_Toc7265"/>
      <w:bookmarkStart w:id="1766" w:name="_Toc3277"/>
      <w:r>
        <w:rPr>
          <w:rFonts w:ascii="黑体" w:eastAsia="黑体" w:hAnsi="黑体" w:cs="黑体" w:hint="eastAsia"/>
          <w:color w:val="000000" w:themeColor="text1"/>
          <w:sz w:val="28"/>
          <w:szCs w:val="28"/>
        </w:rPr>
        <w:t>5.2.8毕业论文（设计）（详见教务〔2017〕181号）</w:t>
      </w:r>
      <w:bookmarkEnd w:id="1761"/>
      <w:bookmarkEnd w:id="1762"/>
      <w:bookmarkEnd w:id="1763"/>
      <w:bookmarkEnd w:id="1764"/>
      <w:bookmarkEnd w:id="1765"/>
      <w:bookmarkEnd w:id="1766"/>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毕业论文（设计）培养学生综合应用所学的基础理论、基本知识和基本技能分析解决问题的重要途径，是对学生进行科学研究的初步训练。指导教师要根据专业培养</w:t>
      </w:r>
      <w:r>
        <w:rPr>
          <w:rFonts w:ascii="仿宋_GB2312" w:eastAsia="仿宋_GB2312" w:hAnsi="仿宋_GB2312" w:cs="仿宋_GB2312"/>
          <w:color w:val="000000" w:themeColor="text1"/>
          <w:sz w:val="24"/>
          <w:szCs w:val="24"/>
        </w:rPr>
        <w:lastRenderedPageBreak/>
        <w:t>目标，指导学生进行理论研究、社会调查，或进行科学实验等。</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指导教师须具有中级及以上职称或通过培养期、具有博士学位的教师，指导人数一般不超过8人，鼓励具有副高职称的指导教师指导不具备资格的初级教师。</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毕业论文（设计）选题要符合专业或专业大类培养目标，满足教学基本要求。教师要加大来源于科研或实际的课题，增加实际与科研的课题数量与比例。</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w:t>
      </w:r>
      <w:r>
        <w:rPr>
          <w:rFonts w:ascii="仿宋_GB2312" w:eastAsia="仿宋_GB2312" w:hAnsi="仿宋_GB2312" w:cs="仿宋_GB2312"/>
          <w:color w:val="000000" w:themeColor="text1"/>
          <w:sz w:val="24"/>
          <w:szCs w:val="24"/>
        </w:rPr>
        <w:t>指导教师要按照《广州大学普通本科生毕业论文（设计）工作管理规程(2017年9月修订)》的要求，根据毕业论文（设计）工作安排及工作程序，在“广州大学毕业论文管理系统上”完成拟题、审核开题报告或下达任务书、审阅论文（设计）成果、评定成绩等工作。</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五、</w:t>
      </w:r>
      <w:r>
        <w:rPr>
          <w:rFonts w:ascii="仿宋_GB2312" w:eastAsia="仿宋_GB2312" w:hAnsi="仿宋_GB2312" w:cs="仿宋_GB2312"/>
          <w:color w:val="000000" w:themeColor="text1"/>
          <w:sz w:val="24"/>
          <w:szCs w:val="24"/>
        </w:rPr>
        <w:t>指导教师要加强过程管理，了解自己所指导的每一个学生的情况，包括思想状况（特别是对待毕业论文或设计的态度）和业务素质，定期检查学生的工作进度和质量，按时进行答疑与指导；定期在“系统”上撰写指导日志，</w:t>
      </w:r>
      <w:r>
        <w:rPr>
          <w:rFonts w:ascii="仿宋_GB2312" w:eastAsia="仿宋_GB2312" w:hAnsi="仿宋_GB2312" w:cs="仿宋_GB2312" w:hint="eastAsia"/>
          <w:color w:val="000000" w:themeColor="text1"/>
          <w:sz w:val="24"/>
          <w:szCs w:val="24"/>
        </w:rPr>
        <w:t>记录所指导学生毕业论文（设计）指导工作情况</w:t>
      </w:r>
      <w:r>
        <w:rPr>
          <w:rFonts w:ascii="仿宋_GB2312" w:eastAsia="仿宋_GB2312" w:hAnsi="仿宋_GB2312" w:cs="仿宋_GB2312"/>
          <w:color w:val="000000" w:themeColor="text1"/>
          <w:sz w:val="24"/>
          <w:szCs w:val="24"/>
        </w:rPr>
        <w:t>。</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767" w:name="_Toc23319"/>
      <w:bookmarkStart w:id="1768" w:name="_Toc11583"/>
      <w:bookmarkStart w:id="1769" w:name="_Toc28385"/>
      <w:bookmarkStart w:id="1770" w:name="_Toc22633"/>
      <w:bookmarkStart w:id="1771" w:name="_Toc8195"/>
      <w:bookmarkStart w:id="1772" w:name="_Toc25233"/>
      <w:bookmarkStart w:id="1773" w:name="_Toc27388"/>
      <w:bookmarkStart w:id="1774" w:name="_Toc9114"/>
      <w:bookmarkStart w:id="1775" w:name="_Toc5808"/>
      <w:bookmarkStart w:id="1776" w:name="_Toc14773"/>
      <w:bookmarkStart w:id="1777" w:name="_Toc9384"/>
      <w:bookmarkStart w:id="1778" w:name="_Toc289"/>
      <w:bookmarkStart w:id="1779" w:name="_Toc8883"/>
      <w:bookmarkStart w:id="1780" w:name="_Toc28598"/>
      <w:bookmarkStart w:id="1781" w:name="_Toc51"/>
      <w:bookmarkStart w:id="1782" w:name="_Toc12950"/>
      <w:bookmarkStart w:id="1783" w:name="_Toc11749"/>
      <w:bookmarkStart w:id="1784" w:name="_Toc12215"/>
      <w:bookmarkStart w:id="1785" w:name="_Toc7309"/>
      <w:bookmarkStart w:id="1786" w:name="_Toc15123"/>
      <w:bookmarkStart w:id="1787" w:name="_Toc519780990"/>
      <w:bookmarkStart w:id="1788" w:name="_Toc5157"/>
      <w:bookmarkStart w:id="1789" w:name="_Toc516688914"/>
      <w:bookmarkStart w:id="1790" w:name="_Toc29441"/>
      <w:bookmarkStart w:id="1791" w:name="_Toc8018"/>
      <w:bookmarkStart w:id="1792" w:name="_Toc11413"/>
      <w:bookmarkStart w:id="1793" w:name="_Toc6215"/>
      <w:bookmarkStart w:id="1794" w:name="_Toc4779"/>
      <w:bookmarkStart w:id="1795" w:name="_Toc13670"/>
      <w:bookmarkStart w:id="1796" w:name="_Toc15267"/>
      <w:r>
        <w:rPr>
          <w:rFonts w:ascii="黑体" w:eastAsia="黑体" w:hAnsi="黑体" w:cs="黑体" w:hint="eastAsia"/>
          <w:color w:val="000000" w:themeColor="text1"/>
          <w:sz w:val="28"/>
          <w:szCs w:val="28"/>
        </w:rPr>
        <w:t>5.2.9 课程考核</w:t>
      </w:r>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课程考核分为考试与考查两种，课程考核应按人才培养方案确定的方式进行。学生修读课程，参加课程考核，并得到相应的成绩评定，成绩合格者方可获得相应学分。</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考试可采用笔试、口试、上机机考、实际操作等不同方式进行，笔试可用闭卷或开卷形式。考查一般采用随堂测验（开卷或闭卷）、作业或以论文等形式进行。</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考核以课程为单位，按学期划分，以教学大纲（“优秀课程”、“重点课程”、“精品课程”及“统考课程”还应同时以考试大纲）为依据。</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w:t>
      </w:r>
      <w:r>
        <w:rPr>
          <w:rFonts w:ascii="仿宋_GB2312" w:eastAsia="仿宋_GB2312" w:hAnsi="仿宋_GB2312" w:cs="仿宋_GB2312"/>
          <w:color w:val="000000" w:themeColor="text1"/>
          <w:sz w:val="24"/>
          <w:szCs w:val="24"/>
        </w:rPr>
        <w:t>原则上3年内试卷题目尽量避免重复，横向（A、B卷）、纵向（最近3年）的试题在形式和内容方面完全重复的题目原则上不应超过20%。</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五、</w:t>
      </w:r>
      <w:r>
        <w:rPr>
          <w:rFonts w:ascii="仿宋_GB2312" w:eastAsia="仿宋_GB2312" w:hAnsi="仿宋_GB2312" w:cs="仿宋_GB2312"/>
          <w:color w:val="000000" w:themeColor="text1"/>
          <w:sz w:val="24"/>
          <w:szCs w:val="24"/>
        </w:rPr>
        <w:t>教师阅卷要认真负责，严格按照评分标准进行评分，实事求是，公正公平。</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任课教师应按照《广州大学本科课程考核方式改革指导意见</w:t>
      </w:r>
      <w:bookmarkStart w:id="1797" w:name="_Toc508090233"/>
      <w:r>
        <w:rPr>
          <w:rFonts w:ascii="仿宋_GB2312" w:eastAsia="仿宋_GB2312" w:hAnsi="仿宋_GB2312" w:cs="仿宋_GB2312" w:hint="eastAsia"/>
          <w:color w:val="000000" w:themeColor="text1"/>
          <w:sz w:val="24"/>
          <w:szCs w:val="24"/>
        </w:rPr>
        <w:t>（试行）</w:t>
      </w:r>
      <w:bookmarkEnd w:id="1797"/>
      <w:r>
        <w:rPr>
          <w:rFonts w:ascii="仿宋_GB2312" w:eastAsia="仿宋_GB2312" w:hAnsi="仿宋_GB2312" w:cs="仿宋_GB2312" w:hint="eastAsia"/>
          <w:color w:val="000000" w:themeColor="text1"/>
          <w:sz w:val="24"/>
          <w:szCs w:val="24"/>
        </w:rPr>
        <w:t>》、《广州大学普通本科生课程考核管理办法（</w:t>
      </w:r>
      <w:r>
        <w:rPr>
          <w:rFonts w:ascii="仿宋_GB2312" w:eastAsia="仿宋_GB2312" w:hAnsi="仿宋_GB2312" w:cs="仿宋_GB2312"/>
          <w:color w:val="000000" w:themeColor="text1"/>
          <w:sz w:val="24"/>
          <w:szCs w:val="24"/>
        </w:rPr>
        <w:t>2017年8月修订）》（广大[2017]268号）等文件的规定，认真做好命题、校对、试卷保密、监考、评分、试卷分析、成绩登记及资料存档等工作。</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798" w:name="_Toc20100"/>
      <w:bookmarkStart w:id="1799" w:name="_Toc18225"/>
      <w:bookmarkStart w:id="1800" w:name="_Toc7387"/>
      <w:bookmarkStart w:id="1801" w:name="_Toc12281"/>
      <w:bookmarkStart w:id="1802" w:name="_Toc12667"/>
      <w:bookmarkStart w:id="1803" w:name="_Toc32383"/>
      <w:bookmarkStart w:id="1804" w:name="_Toc11172"/>
      <w:bookmarkStart w:id="1805" w:name="_Toc2248"/>
      <w:bookmarkStart w:id="1806" w:name="_Toc516688915"/>
      <w:bookmarkStart w:id="1807" w:name="_Toc14655"/>
      <w:bookmarkStart w:id="1808" w:name="_Toc13455"/>
      <w:bookmarkStart w:id="1809" w:name="_Toc29939"/>
      <w:bookmarkStart w:id="1810" w:name="_Toc519780991"/>
      <w:bookmarkStart w:id="1811" w:name="_Toc25014"/>
      <w:bookmarkStart w:id="1812" w:name="_Toc8778"/>
      <w:bookmarkStart w:id="1813" w:name="_Toc532"/>
      <w:bookmarkStart w:id="1814" w:name="_Toc7652"/>
      <w:bookmarkStart w:id="1815" w:name="_Toc26287"/>
      <w:bookmarkStart w:id="1816" w:name="_Toc29200"/>
      <w:bookmarkStart w:id="1817" w:name="_Toc20578"/>
      <w:bookmarkStart w:id="1818" w:name="_Toc23359"/>
      <w:bookmarkStart w:id="1819" w:name="_Toc30770"/>
      <w:bookmarkStart w:id="1820" w:name="_Toc29932"/>
      <w:bookmarkStart w:id="1821" w:name="_Toc21633"/>
      <w:bookmarkStart w:id="1822" w:name="_Toc5358"/>
      <w:bookmarkStart w:id="1823" w:name="_Toc31451"/>
      <w:bookmarkStart w:id="1824" w:name="_Toc29584"/>
      <w:bookmarkStart w:id="1825" w:name="_Toc8806"/>
      <w:bookmarkStart w:id="1826" w:name="_Toc1196"/>
      <w:bookmarkStart w:id="1827" w:name="_Toc29770"/>
      <w:r>
        <w:rPr>
          <w:rFonts w:ascii="黑体" w:eastAsia="黑体" w:hAnsi="黑体" w:cs="黑体" w:hint="eastAsia"/>
          <w:color w:val="000000" w:themeColor="text1"/>
          <w:sz w:val="28"/>
          <w:szCs w:val="28"/>
        </w:rPr>
        <w:t>5.3 教学工作纪律</w:t>
      </w:r>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r>
        <w:rPr>
          <w:rFonts w:ascii="黑体" w:eastAsia="黑体" w:hAnsi="黑体" w:cs="黑体" w:hint="eastAsia"/>
          <w:color w:val="000000" w:themeColor="text1"/>
          <w:sz w:val="28"/>
          <w:szCs w:val="28"/>
        </w:rPr>
        <w:t>（详见广大〔2017〕319号）</w:t>
      </w:r>
      <w:bookmarkEnd w:id="1822"/>
      <w:bookmarkEnd w:id="1823"/>
      <w:bookmarkEnd w:id="1824"/>
      <w:bookmarkEnd w:id="1825"/>
      <w:bookmarkEnd w:id="1826"/>
      <w:bookmarkEnd w:id="1827"/>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任课教师是课堂教学的第一责任人，应履行管理职责，维护课堂秩序。</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课堂教学必须坚持“学术研究无禁区、课堂讲授有纪律”，公开言论守规矩，守好政治底线、法律底线和道德底线，对学生的世界观、人生观、价值观给予正确引导。</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lastRenderedPageBreak/>
        <w:t>三、</w:t>
      </w:r>
      <w:r>
        <w:rPr>
          <w:rFonts w:ascii="仿宋_GB2312" w:eastAsia="仿宋_GB2312" w:hAnsi="仿宋_GB2312" w:cs="仿宋_GB2312"/>
          <w:color w:val="000000" w:themeColor="text1"/>
          <w:sz w:val="24"/>
          <w:szCs w:val="24"/>
        </w:rPr>
        <w:t>把坚持党的基本路线作为教学的基本要求。坚决贯彻落实中央部署要求，坚持正确方向，坚持立德树人，坚持服务大局，坚持改革创新。在政治上要和党中央保持高度一致。严禁教师在课堂上传播违背党的路线方针政策、违反宪法和法律、损害国家利益的内容或言论。</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w:t>
      </w:r>
      <w:r>
        <w:rPr>
          <w:rFonts w:ascii="仿宋_GB2312" w:eastAsia="仿宋_GB2312" w:hAnsi="仿宋_GB2312" w:cs="仿宋_GB2312"/>
          <w:color w:val="000000" w:themeColor="text1"/>
          <w:sz w:val="24"/>
          <w:szCs w:val="24"/>
        </w:rPr>
        <w:t>教师选用教材、以及自编讲义和制作的教学PPT必须与党的教育方针相一致，不能违背党的路线方针政策、不能违反国家的宪法和法律。</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五、</w:t>
      </w:r>
      <w:r>
        <w:rPr>
          <w:rFonts w:ascii="仿宋_GB2312" w:eastAsia="仿宋_GB2312" w:hAnsi="仿宋_GB2312" w:cs="仿宋_GB2312"/>
          <w:color w:val="000000" w:themeColor="text1"/>
          <w:sz w:val="24"/>
          <w:szCs w:val="24"/>
        </w:rPr>
        <w:t>教师须按课程教学大纲要求认真备课，科学合理地安排教学内容及进度，及时更新教学内容，创新教学方式与方法。同一课程分班教学时，其教学进度和主要内容应按统一的要求实施教学。教师应熟悉教学任务内容，上课时要带教案及必需的教具，坚持用普通话教学（外语类课程或双语课程除外）。</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六、</w:t>
      </w:r>
      <w:r>
        <w:rPr>
          <w:rFonts w:ascii="仿宋_GB2312" w:eastAsia="仿宋_GB2312" w:hAnsi="仿宋_GB2312" w:cs="仿宋_GB2312"/>
          <w:color w:val="000000" w:themeColor="text1"/>
          <w:sz w:val="24"/>
          <w:szCs w:val="24"/>
        </w:rPr>
        <w:t>课堂讲授语言应力求做到准确、规范、简练、生动。讲授内容应作到概念清楚、条理分明、逻辑性强、突出重点、难点。板书（电子教案）文字要符合规范化要求、板图正确。</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七、</w:t>
      </w:r>
      <w:r>
        <w:rPr>
          <w:rFonts w:ascii="仿宋_GB2312" w:eastAsia="仿宋_GB2312" w:hAnsi="仿宋_GB2312" w:cs="仿宋_GB2312"/>
          <w:color w:val="000000" w:themeColor="text1"/>
          <w:sz w:val="24"/>
          <w:szCs w:val="24"/>
        </w:rPr>
        <w:t>教师在课堂教学中须遵守师德规范，严于律己，为人师表，着装得体，仪表端庄，精神饱满，言行文明。</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八、</w:t>
      </w:r>
      <w:r>
        <w:rPr>
          <w:rFonts w:ascii="仿宋_GB2312" w:eastAsia="仿宋_GB2312" w:hAnsi="仿宋_GB2312" w:cs="仿宋_GB2312"/>
          <w:color w:val="000000" w:themeColor="text1"/>
          <w:sz w:val="24"/>
          <w:szCs w:val="24"/>
        </w:rPr>
        <w:t>教师在课堂上不得接听或拨打电话，不得吸烟，不做与课堂教学活动无关的事情。</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九、</w:t>
      </w:r>
      <w:r>
        <w:rPr>
          <w:rFonts w:ascii="仿宋_GB2312" w:eastAsia="仿宋_GB2312" w:hAnsi="仿宋_GB2312" w:cs="仿宋_GB2312"/>
          <w:color w:val="000000" w:themeColor="text1"/>
          <w:sz w:val="24"/>
          <w:szCs w:val="24"/>
        </w:rPr>
        <w:t>教师应加强课堂纪律管理，严格要求学生遵守课堂纪律，协助学院做好学生考勤等工作，对学生缺勤、违纪等情况要做好记录。教师应督促学生上课时认真听讲，对不遵守课堂纪律的现象要及时予以制止、批评教育。对情节严重、不接受批评者，教师应及时向学生所在学院反映。对于教师反映内容学生所在学院应及时处理并将处理结果反馈老师。</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十、</w:t>
      </w:r>
      <w:r>
        <w:rPr>
          <w:rFonts w:ascii="仿宋_GB2312" w:eastAsia="仿宋_GB2312" w:hAnsi="仿宋_GB2312" w:cs="仿宋_GB2312"/>
          <w:color w:val="000000" w:themeColor="text1"/>
          <w:sz w:val="24"/>
          <w:szCs w:val="24"/>
        </w:rPr>
        <w:t>学院认为有必要聘请校外专家少量授课时，课程的任课教师要填写《广州大学校外专家（学者）少量授课审批表》，严格按照审批结果办理。</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十一、</w:t>
      </w:r>
      <w:r>
        <w:rPr>
          <w:rFonts w:ascii="仿宋_GB2312" w:eastAsia="仿宋_GB2312" w:hAnsi="仿宋_GB2312" w:cs="仿宋_GB2312"/>
          <w:color w:val="000000" w:themeColor="text1"/>
          <w:sz w:val="24"/>
          <w:szCs w:val="24"/>
        </w:rPr>
        <w:t>教师应自觉接受教学督导及学校规定人员的听课，接受学校相关教学部门安排的教学检查，及时对听课反馈结果和教学检查中发现的问题做出说明或整改。</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十二、</w:t>
      </w:r>
      <w:r>
        <w:rPr>
          <w:rFonts w:ascii="仿宋_GB2312" w:eastAsia="仿宋_GB2312" w:hAnsi="仿宋_GB2312" w:cs="仿宋_GB2312"/>
          <w:color w:val="000000" w:themeColor="text1"/>
          <w:sz w:val="24"/>
          <w:szCs w:val="24"/>
        </w:rPr>
        <w:t>教师应积极运用现代化教学手段进行教学，提高教学效率和质量。使用多媒体教学时，教师课前须做好充分的准备工作，熟练掌握多媒体设备的操作规程。遇停电或多媒体设备不能正常使用时，教师应坚持用其它方式讲课或更换上课地点，确保课堂教学正常进行，不得停课或让学生自习，并及时向有关部门反映设备问题。</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十三、</w:t>
      </w:r>
      <w:r>
        <w:rPr>
          <w:rFonts w:ascii="仿宋_GB2312" w:eastAsia="仿宋_GB2312" w:hAnsi="仿宋_GB2312" w:cs="仿宋_GB2312"/>
          <w:color w:val="000000" w:themeColor="text1"/>
          <w:sz w:val="24"/>
          <w:szCs w:val="24"/>
        </w:rPr>
        <w:t>教师应不断总结和改进教学方法，以人为本、以学生为本，在教学中做到提供信息、启发思路、介绍方法、补充知识以及引导学生质疑、探究和创新，培养学生科</w:t>
      </w:r>
      <w:r>
        <w:rPr>
          <w:rFonts w:ascii="仿宋_GB2312" w:eastAsia="仿宋_GB2312" w:hAnsi="仿宋_GB2312" w:cs="仿宋_GB2312"/>
          <w:color w:val="000000" w:themeColor="text1"/>
          <w:sz w:val="24"/>
          <w:szCs w:val="24"/>
        </w:rPr>
        <w:lastRenderedPageBreak/>
        <w:t>学的思维方法、分析解决问题的能力、创新意识、学生自我教育和自我学习能力。</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highlight w:val="yellow"/>
        </w:rPr>
      </w:pPr>
      <w:r>
        <w:rPr>
          <w:rFonts w:ascii="仿宋_GB2312" w:eastAsia="仿宋_GB2312" w:hAnsi="仿宋_GB2312" w:cs="仿宋_GB2312" w:hint="eastAsia"/>
          <w:color w:val="000000" w:themeColor="text1"/>
          <w:sz w:val="24"/>
          <w:szCs w:val="24"/>
        </w:rPr>
        <w:t>十四、</w:t>
      </w:r>
      <w:r>
        <w:rPr>
          <w:rFonts w:ascii="仿宋_GB2312" w:eastAsia="仿宋_GB2312" w:hAnsi="仿宋_GB2312" w:cs="仿宋_GB2312"/>
          <w:color w:val="000000" w:themeColor="text1"/>
          <w:sz w:val="24"/>
          <w:szCs w:val="24"/>
        </w:rPr>
        <w:t>教师应坚守岗位遵守教学纪律，作好课前准备工作，按时上课，不迟到、早退，不随意调课、停课，不自行请人代课，不随意更改上课时间、地点或减少教学时数。</w:t>
      </w:r>
      <w:r>
        <w:rPr>
          <w:rFonts w:ascii="仿宋_GB2312" w:eastAsia="仿宋_GB2312" w:hAnsi="仿宋_GB2312" w:cs="仿宋_GB2312" w:hint="eastAsia"/>
          <w:color w:val="000000" w:themeColor="text1"/>
          <w:sz w:val="24"/>
          <w:szCs w:val="24"/>
        </w:rPr>
        <w:t>需申请调、停课的任课教师按照《广州大学调课管理暂行规定》、《广州大学实验课程排课微调和调停课工作的规定》等文件的流程办理。</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828" w:name="_Toc26050"/>
      <w:bookmarkStart w:id="1829" w:name="_Toc22454"/>
      <w:bookmarkStart w:id="1830" w:name="_Toc24431"/>
      <w:bookmarkStart w:id="1831" w:name="_Toc5059"/>
      <w:bookmarkStart w:id="1832" w:name="_Toc5399"/>
      <w:bookmarkStart w:id="1833" w:name="_Toc9158"/>
      <w:bookmarkStart w:id="1834" w:name="_Toc1438"/>
      <w:bookmarkStart w:id="1835" w:name="_Toc8000"/>
      <w:bookmarkStart w:id="1836" w:name="_Toc19031"/>
      <w:bookmarkStart w:id="1837" w:name="_Toc31143"/>
      <w:bookmarkStart w:id="1838" w:name="_Toc24573"/>
      <w:bookmarkStart w:id="1839" w:name="_Toc19616"/>
      <w:bookmarkStart w:id="1840" w:name="_Toc4229"/>
      <w:bookmarkStart w:id="1841" w:name="_Toc519780992"/>
      <w:bookmarkStart w:id="1842" w:name="_Toc6707"/>
      <w:bookmarkStart w:id="1843" w:name="_Toc2865"/>
      <w:bookmarkStart w:id="1844" w:name="_Toc11047"/>
      <w:bookmarkStart w:id="1845" w:name="_Toc516688916"/>
      <w:bookmarkStart w:id="1846" w:name="_Toc21420"/>
      <w:bookmarkStart w:id="1847" w:name="_Toc18318"/>
      <w:bookmarkStart w:id="1848" w:name="_Toc27435"/>
      <w:bookmarkStart w:id="1849" w:name="_Toc17630"/>
      <w:bookmarkStart w:id="1850" w:name="_Toc23095"/>
      <w:bookmarkStart w:id="1851" w:name="_Toc21868"/>
      <w:bookmarkStart w:id="1852" w:name="_Toc7179"/>
      <w:bookmarkStart w:id="1853" w:name="_Toc30450"/>
      <w:bookmarkStart w:id="1854" w:name="_Toc30546"/>
      <w:bookmarkStart w:id="1855" w:name="_Toc10289"/>
      <w:bookmarkStart w:id="1856" w:name="_Toc20561"/>
      <w:bookmarkStart w:id="1857" w:name="_Toc17877"/>
      <w:r>
        <w:rPr>
          <w:rFonts w:ascii="黑体" w:eastAsia="黑体" w:hAnsi="黑体" w:cs="黑体" w:hint="eastAsia"/>
          <w:color w:val="000000" w:themeColor="text1"/>
          <w:sz w:val="28"/>
          <w:szCs w:val="28"/>
        </w:rPr>
        <w:t>5.4 教学质量监控与评估</w:t>
      </w:r>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r>
        <w:rPr>
          <w:rFonts w:ascii="黑体" w:eastAsia="黑体" w:hAnsi="黑体" w:cs="黑体" w:hint="eastAsia"/>
          <w:color w:val="000000" w:themeColor="text1"/>
          <w:sz w:val="28"/>
          <w:szCs w:val="28"/>
        </w:rPr>
        <w:t>（详见广大〔2017〕108号）</w:t>
      </w:r>
      <w:bookmarkEnd w:id="1851"/>
      <w:bookmarkEnd w:id="1852"/>
      <w:bookmarkEnd w:id="1853"/>
      <w:bookmarkEnd w:id="1854"/>
      <w:bookmarkEnd w:id="1855"/>
      <w:bookmarkEnd w:id="1856"/>
      <w:bookmarkEnd w:id="1857"/>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学校教学质量监控与评估的内容包括：</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教学过程监控与评估（包括常规的教学秩序检查、院校两级领导听课、教学督导制度、学生评教、学生信息员制度、教学基本状态数据库建立等）。</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教学基本条件监控与评估（包括论文评估、试卷评估、课程评估、专业评估、专业认证、实习实践基地评估、教学实验室建设评估等）。</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教学目标监控与评估（包括毕业生跟踪调查、本科教学质量报告等）。</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w:t>
      </w:r>
      <w:r>
        <w:rPr>
          <w:rFonts w:ascii="仿宋_GB2312" w:eastAsia="仿宋_GB2312" w:hAnsi="仿宋_GB2312" w:cs="仿宋_GB2312"/>
          <w:color w:val="000000" w:themeColor="text1"/>
          <w:sz w:val="24"/>
          <w:szCs w:val="24"/>
        </w:rPr>
        <w:t>教育部、省教育厅、市教育局等部门组织的专项检查、院校评估等。</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858" w:name="_Toc22254"/>
      <w:bookmarkStart w:id="1859" w:name="_Toc29565"/>
      <w:bookmarkStart w:id="1860" w:name="_Toc21172"/>
      <w:bookmarkStart w:id="1861" w:name="_Toc519780993"/>
      <w:bookmarkStart w:id="1862" w:name="_Toc10438"/>
      <w:bookmarkStart w:id="1863" w:name="_Toc16079"/>
      <w:bookmarkStart w:id="1864" w:name="_Toc21085"/>
      <w:bookmarkStart w:id="1865" w:name="_Toc11802"/>
      <w:bookmarkStart w:id="1866" w:name="_Toc19611"/>
      <w:bookmarkStart w:id="1867" w:name="_Toc15099"/>
      <w:bookmarkStart w:id="1868" w:name="_Toc516688917"/>
      <w:bookmarkStart w:id="1869" w:name="_Toc23781"/>
      <w:bookmarkStart w:id="1870" w:name="_Toc16896"/>
      <w:bookmarkStart w:id="1871" w:name="_Toc29882"/>
      <w:bookmarkStart w:id="1872" w:name="_Toc1197"/>
      <w:bookmarkStart w:id="1873" w:name="_Toc20276"/>
      <w:bookmarkStart w:id="1874" w:name="_Toc29480"/>
      <w:bookmarkStart w:id="1875" w:name="_Toc11087"/>
      <w:bookmarkStart w:id="1876" w:name="_Toc19285"/>
      <w:bookmarkStart w:id="1877" w:name="_Toc1936"/>
      <w:bookmarkStart w:id="1878" w:name="_Toc12681"/>
      <w:bookmarkStart w:id="1879" w:name="_Toc16519"/>
      <w:bookmarkStart w:id="1880" w:name="_Toc29634"/>
      <w:bookmarkStart w:id="1881" w:name="_Toc1540"/>
      <w:bookmarkStart w:id="1882" w:name="_Toc27419"/>
      <w:bookmarkStart w:id="1883" w:name="_Toc24243"/>
      <w:bookmarkStart w:id="1884" w:name="_Toc17725"/>
      <w:bookmarkStart w:id="1885" w:name="_Toc16673"/>
      <w:bookmarkStart w:id="1886" w:name="_Toc12022"/>
      <w:bookmarkStart w:id="1887" w:name="_Toc25573"/>
      <w:r>
        <w:rPr>
          <w:rFonts w:ascii="黑体" w:eastAsia="黑体" w:hAnsi="黑体" w:cs="黑体" w:hint="eastAsia"/>
          <w:color w:val="000000" w:themeColor="text1"/>
          <w:sz w:val="28"/>
          <w:szCs w:val="28"/>
        </w:rPr>
        <w:t>5.5 教学奖励</w:t>
      </w:r>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r>
        <w:rPr>
          <w:rFonts w:ascii="黑体" w:eastAsia="黑体" w:hAnsi="黑体" w:cs="黑体" w:hint="eastAsia"/>
          <w:color w:val="000000" w:themeColor="text1"/>
          <w:sz w:val="28"/>
          <w:szCs w:val="28"/>
        </w:rPr>
        <w:t>（详见广大〔2017〕264号、〔2017〕204号、〔2017〕205号等）</w:t>
      </w:r>
      <w:bookmarkEnd w:id="1881"/>
      <w:bookmarkEnd w:id="1882"/>
      <w:bookmarkEnd w:id="1883"/>
      <w:bookmarkEnd w:id="1884"/>
      <w:bookmarkEnd w:id="1885"/>
      <w:bookmarkEnd w:id="1886"/>
      <w:bookmarkEnd w:id="1887"/>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学校设立了下列突出教学成果和业绩奖励性绩效：</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突出教学成果奖励性绩效：包括各级各类教学成果奖奖励性绩效、专项评估和认证通过奖励性绩效、教学名师奖励性绩效等。</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重要教学研究项目奖励性绩效：包括“教学质量与教学改革工程”项目奖励性绩效、精品课程与规划教材奖励性绩效、教学研究与教学改革项目奖励性绩效、研究生教育创新计划项目奖励性绩效等。</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指导学生业绩突出奖励性绩效：包括广州大学优秀研究生指导教师奖励性绩效、广州大学学科竞赛指导教师奖励性绩效、指导学生课外科技创新及创业活动获优秀成绩教师奖励性绩效、指导学生参加体育、艺术竞赛活动获得优秀成绩的教师奖励性绩效。</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w:t>
      </w:r>
      <w:r>
        <w:rPr>
          <w:rFonts w:ascii="仿宋_GB2312" w:eastAsia="仿宋_GB2312" w:hAnsi="仿宋_GB2312" w:cs="仿宋_GB2312"/>
          <w:color w:val="000000" w:themeColor="text1"/>
          <w:sz w:val="24"/>
          <w:szCs w:val="24"/>
        </w:rPr>
        <w:t>教学业绩突出奖励性绩效：包括教师教学竞赛奖励性绩效、教师计算机教育软件（多媒体课件、教育教学工具类软件系统、移动终端课件、微课等）竞赛奖励性绩效、广州大学优质课程奖励性绩效、广州大学本科课堂教学优秀奖励性绩效、广州大学统考课程成绩优秀奖励性绩效、广州大学教学管理先进（进步）单位、先进个人奖励性绩效、广州大学考研考博管理先进单位奖励性绩效、最受学生欢迎教师奖励性绩效。</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888" w:name="_Toc516688918"/>
      <w:bookmarkStart w:id="1889" w:name="_Toc14535"/>
      <w:bookmarkStart w:id="1890" w:name="_Toc8134"/>
      <w:bookmarkStart w:id="1891" w:name="_Toc8754"/>
      <w:bookmarkStart w:id="1892" w:name="_Toc3545"/>
      <w:bookmarkStart w:id="1893" w:name="_Toc28917"/>
      <w:bookmarkStart w:id="1894" w:name="_Toc30394"/>
      <w:bookmarkStart w:id="1895" w:name="_Toc21995"/>
      <w:bookmarkStart w:id="1896" w:name="_Toc8650"/>
      <w:bookmarkStart w:id="1897" w:name="_Toc9668"/>
      <w:bookmarkStart w:id="1898" w:name="_Toc13229"/>
      <w:bookmarkStart w:id="1899" w:name="_Toc16253"/>
      <w:bookmarkStart w:id="1900" w:name="_Toc32131"/>
      <w:bookmarkStart w:id="1901" w:name="_Toc8496"/>
      <w:bookmarkStart w:id="1902" w:name="_Toc7167"/>
      <w:bookmarkStart w:id="1903" w:name="_Toc6787"/>
      <w:bookmarkStart w:id="1904" w:name="_Toc1665"/>
      <w:bookmarkStart w:id="1905" w:name="_Toc16871"/>
      <w:bookmarkStart w:id="1906" w:name="_Toc5680"/>
      <w:bookmarkStart w:id="1907" w:name="_Toc21535"/>
      <w:bookmarkStart w:id="1908" w:name="_Toc7171"/>
      <w:bookmarkStart w:id="1909" w:name="_Toc8669"/>
      <w:bookmarkStart w:id="1910" w:name="_Toc519780994"/>
      <w:bookmarkStart w:id="1911" w:name="_Toc4047"/>
      <w:bookmarkStart w:id="1912" w:name="_Toc1117"/>
      <w:bookmarkStart w:id="1913" w:name="_Toc5319"/>
      <w:bookmarkStart w:id="1914" w:name="_Toc25295"/>
      <w:bookmarkStart w:id="1915" w:name="_Toc31168"/>
      <w:bookmarkStart w:id="1916" w:name="_Toc29151"/>
      <w:bookmarkStart w:id="1917" w:name="_Toc527"/>
      <w:r>
        <w:rPr>
          <w:rFonts w:ascii="黑体" w:eastAsia="黑体" w:hAnsi="黑体" w:cs="黑体" w:hint="eastAsia"/>
          <w:color w:val="000000" w:themeColor="text1"/>
          <w:sz w:val="28"/>
          <w:szCs w:val="28"/>
        </w:rPr>
        <w:lastRenderedPageBreak/>
        <w:t>5.6 本科教学事故的认定与处理</w:t>
      </w:r>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r>
        <w:rPr>
          <w:rFonts w:ascii="黑体" w:eastAsia="黑体" w:hAnsi="黑体" w:cs="黑体" w:hint="eastAsia"/>
          <w:color w:val="000000" w:themeColor="text1"/>
          <w:sz w:val="28"/>
          <w:szCs w:val="28"/>
        </w:rPr>
        <w:t>（详见广大〔2017〕300号）</w:t>
      </w:r>
      <w:bookmarkEnd w:id="1912"/>
      <w:bookmarkEnd w:id="1913"/>
      <w:bookmarkEnd w:id="1914"/>
      <w:bookmarkEnd w:id="1915"/>
      <w:bookmarkEnd w:id="1916"/>
      <w:bookmarkEnd w:id="1917"/>
    </w:p>
    <w:p w:rsidR="00E37845" w:rsidRDefault="00E22BDD">
      <w:pPr>
        <w:adjustRightInd w:val="0"/>
        <w:snapToGrid w:val="0"/>
        <w:spacing w:line="26" w:lineRule="atLeast"/>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教学事故按程度分为四级：Ⅰ重大事故；Ⅱ较大事故；Ⅲ一般事故；Ⅳ教学失误。</w:t>
      </w:r>
    </w:p>
    <w:p w:rsidR="00E37845" w:rsidRDefault="00E22BDD">
      <w:pPr>
        <w:adjustRightInd w:val="0"/>
        <w:snapToGrid w:val="0"/>
        <w:spacing w:line="26" w:lineRule="atLeast"/>
        <w:ind w:firstLineChars="200" w:firstLine="560"/>
        <w:jc w:val="center"/>
        <w:rPr>
          <w:rFonts w:ascii="黑体" w:eastAsia="黑体" w:hAnsi="黑体" w:cs="黑体"/>
          <w:color w:val="000000" w:themeColor="text1"/>
          <w:sz w:val="28"/>
          <w:szCs w:val="28"/>
        </w:rPr>
      </w:pPr>
      <w:r>
        <w:rPr>
          <w:rFonts w:ascii="黑体" w:eastAsia="黑体" w:hAnsi="黑体" w:cs="黑体" w:hint="eastAsia"/>
          <w:color w:val="000000" w:themeColor="text1"/>
          <w:sz w:val="28"/>
          <w:szCs w:val="28"/>
        </w:rPr>
        <w:t>教学事故定义及其等级（教学人员）</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7483"/>
        <w:gridCol w:w="750"/>
      </w:tblGrid>
      <w:tr w:rsidR="00E37845">
        <w:trPr>
          <w:trHeight w:val="485"/>
          <w:jc w:val="center"/>
        </w:trPr>
        <w:tc>
          <w:tcPr>
            <w:tcW w:w="84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序号</w:t>
            </w:r>
          </w:p>
        </w:tc>
        <w:tc>
          <w:tcPr>
            <w:tcW w:w="7483"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事故定义</w:t>
            </w:r>
          </w:p>
        </w:tc>
        <w:tc>
          <w:tcPr>
            <w:tcW w:w="75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等级</w:t>
            </w:r>
          </w:p>
        </w:tc>
      </w:tr>
      <w:tr w:rsidR="00E37845">
        <w:trPr>
          <w:trHeight w:val="90"/>
          <w:jc w:val="center"/>
        </w:trPr>
        <w:tc>
          <w:tcPr>
            <w:tcW w:w="84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A1</w:t>
            </w:r>
          </w:p>
        </w:tc>
        <w:tc>
          <w:tcPr>
            <w:tcW w:w="7483"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违反课堂政治纪律，散布违背党的理论和路线方针政策的意见，传播政治谣言及丑化党和国家形象的言论：</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1.未造成较大影响，并及时予以改正的。</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2.造成一定影响，但主动认识到错误并予以改正的。</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3.造成较大影响，拒不改正的。</w:t>
            </w:r>
          </w:p>
        </w:tc>
        <w:tc>
          <w:tcPr>
            <w:tcW w:w="75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Ⅲ</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Ⅱ</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Ⅰ</w:t>
            </w:r>
          </w:p>
        </w:tc>
      </w:tr>
      <w:tr w:rsidR="00E37845">
        <w:trPr>
          <w:trHeight w:val="682"/>
          <w:jc w:val="center"/>
        </w:trPr>
        <w:tc>
          <w:tcPr>
            <w:tcW w:w="84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A2</w:t>
            </w:r>
          </w:p>
        </w:tc>
        <w:tc>
          <w:tcPr>
            <w:tcW w:w="7483"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担任统考课程及马克思主义理论研究和建设工程相关课程的教师拒不使用学院指定的教材。</w:t>
            </w:r>
          </w:p>
        </w:tc>
        <w:tc>
          <w:tcPr>
            <w:tcW w:w="75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Ⅲ</w:t>
            </w:r>
          </w:p>
        </w:tc>
      </w:tr>
      <w:tr w:rsidR="00E37845">
        <w:trPr>
          <w:trHeight w:val="801"/>
          <w:jc w:val="center"/>
        </w:trPr>
        <w:tc>
          <w:tcPr>
            <w:tcW w:w="84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A3</w:t>
            </w:r>
          </w:p>
        </w:tc>
        <w:tc>
          <w:tcPr>
            <w:tcW w:w="7483"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阻止教学督导委员正当听课：</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1.未耽误课堂教学的。</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2.耽误课堂教学15分钟以上的。</w:t>
            </w:r>
          </w:p>
        </w:tc>
        <w:tc>
          <w:tcPr>
            <w:tcW w:w="75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Ⅲ</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Ⅱ</w:t>
            </w:r>
          </w:p>
        </w:tc>
      </w:tr>
      <w:tr w:rsidR="00E37845">
        <w:trPr>
          <w:trHeight w:val="471"/>
          <w:jc w:val="center"/>
        </w:trPr>
        <w:tc>
          <w:tcPr>
            <w:tcW w:w="84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A4</w:t>
            </w:r>
          </w:p>
        </w:tc>
        <w:tc>
          <w:tcPr>
            <w:tcW w:w="7483"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未经教务处批准，私自安排不具备我校任教资格的人代课。</w:t>
            </w:r>
          </w:p>
        </w:tc>
        <w:tc>
          <w:tcPr>
            <w:tcW w:w="75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Ⅲ</w:t>
            </w:r>
          </w:p>
        </w:tc>
      </w:tr>
      <w:tr w:rsidR="00E37845">
        <w:trPr>
          <w:trHeight w:val="461"/>
          <w:jc w:val="center"/>
        </w:trPr>
        <w:tc>
          <w:tcPr>
            <w:tcW w:w="84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A5</w:t>
            </w:r>
          </w:p>
        </w:tc>
        <w:tc>
          <w:tcPr>
            <w:tcW w:w="7483"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教师申报全校通识类选修课，经学生选课后无故取消其开课计划。</w:t>
            </w:r>
          </w:p>
        </w:tc>
        <w:tc>
          <w:tcPr>
            <w:tcW w:w="75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Ⅲ</w:t>
            </w:r>
          </w:p>
        </w:tc>
      </w:tr>
      <w:tr w:rsidR="00E37845">
        <w:trPr>
          <w:trHeight w:val="1222"/>
          <w:jc w:val="center"/>
        </w:trPr>
        <w:tc>
          <w:tcPr>
            <w:tcW w:w="84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A6</w:t>
            </w:r>
          </w:p>
        </w:tc>
        <w:tc>
          <w:tcPr>
            <w:tcW w:w="7483"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执行教学任务（如上课、监考）时，出现下列现象：</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1.无故迟到、早退15分钟以内，或中途离岗30分钟以内。</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2.无故迟到、早退15分钟以上45分钟以内，或中途离岗30分钟以上。</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3.无故迟到、早退45分钟以上，或旷课、旷考1次。</w:t>
            </w:r>
          </w:p>
        </w:tc>
        <w:tc>
          <w:tcPr>
            <w:tcW w:w="75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Ⅳ</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Ⅲ</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Ⅱ</w:t>
            </w:r>
          </w:p>
        </w:tc>
      </w:tr>
      <w:tr w:rsidR="00E37845">
        <w:trPr>
          <w:trHeight w:val="1198"/>
          <w:jc w:val="center"/>
        </w:trPr>
        <w:tc>
          <w:tcPr>
            <w:tcW w:w="84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A7</w:t>
            </w:r>
          </w:p>
        </w:tc>
        <w:tc>
          <w:tcPr>
            <w:tcW w:w="7483"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未经教务处批准擅自调课、停课：</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1.擅自调课4节以内（含4节），或擅自停课1节。</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2.擅自调课5节及以上，或擅自停课2至4节。</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3.擅自停课5节及以上。</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（擅自调课、停课的定义见广大</w:t>
            </w:r>
            <w:r>
              <w:rPr>
                <w:rFonts w:ascii="仿宋_GB2312" w:eastAsia="仿宋_GB2312" w:hAnsi="仿宋_GB2312" w:cs="仿宋_GB2312"/>
                <w:color w:val="000000" w:themeColor="text1"/>
                <w:sz w:val="24"/>
                <w:szCs w:val="24"/>
              </w:rPr>
              <w:t>[2017]300号中的</w:t>
            </w:r>
            <w:r>
              <w:rPr>
                <w:rFonts w:ascii="仿宋_GB2312" w:eastAsia="仿宋_GB2312" w:hAnsi="仿宋_GB2312" w:cs="仿宋_GB2312" w:hint="eastAsia"/>
                <w:color w:val="000000" w:themeColor="text1"/>
                <w:sz w:val="24"/>
                <w:szCs w:val="24"/>
              </w:rPr>
              <w:t>注释）</w:t>
            </w:r>
          </w:p>
        </w:tc>
        <w:tc>
          <w:tcPr>
            <w:tcW w:w="75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Ⅳ</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Ⅲ</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Ⅱ</w:t>
            </w:r>
          </w:p>
        </w:tc>
      </w:tr>
      <w:tr w:rsidR="00E37845">
        <w:trPr>
          <w:trHeight w:val="1150"/>
          <w:jc w:val="center"/>
        </w:trPr>
        <w:tc>
          <w:tcPr>
            <w:tcW w:w="84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A8</w:t>
            </w:r>
          </w:p>
        </w:tc>
        <w:tc>
          <w:tcPr>
            <w:tcW w:w="7483"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迟于规定时间上交学生成绩、试卷、教学进度表和实习计划表等材料：</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1.5天以内（含5天）。</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2.5天以上10天以内（含10天）。</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3.10天以上。</w:t>
            </w:r>
          </w:p>
        </w:tc>
        <w:tc>
          <w:tcPr>
            <w:tcW w:w="75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Ⅳ</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Ⅲ</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Ⅱ</w:t>
            </w:r>
          </w:p>
        </w:tc>
      </w:tr>
      <w:tr w:rsidR="00E37845">
        <w:trPr>
          <w:trHeight w:val="1148"/>
          <w:jc w:val="center"/>
        </w:trPr>
        <w:tc>
          <w:tcPr>
            <w:tcW w:w="84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A9</w:t>
            </w:r>
          </w:p>
        </w:tc>
        <w:tc>
          <w:tcPr>
            <w:tcW w:w="7483"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不按教学大纲的要求布置或批改作业：</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1.只有规定的二分之一。</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2.只有规定的三分之一。</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3.完全没有。</w:t>
            </w:r>
          </w:p>
        </w:tc>
        <w:tc>
          <w:tcPr>
            <w:tcW w:w="75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Ⅳ</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Ⅲ</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Ⅱ</w:t>
            </w:r>
          </w:p>
        </w:tc>
      </w:tr>
      <w:tr w:rsidR="00E37845">
        <w:trPr>
          <w:trHeight w:val="1295"/>
          <w:jc w:val="center"/>
        </w:trPr>
        <w:tc>
          <w:tcPr>
            <w:tcW w:w="84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A10</w:t>
            </w:r>
          </w:p>
        </w:tc>
        <w:tc>
          <w:tcPr>
            <w:tcW w:w="7483"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指导课程设计、毕业论文（设计）等实践性教学环节出现下列现象：</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1.评估不合格。</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2.所指导的学生剽窃、抄袭他人成果，造成恶劣影响。</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3.多次不按时到场指导。</w:t>
            </w:r>
          </w:p>
        </w:tc>
        <w:tc>
          <w:tcPr>
            <w:tcW w:w="75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Ⅳ</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Ⅲ</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Ⅲ</w:t>
            </w:r>
          </w:p>
        </w:tc>
      </w:tr>
      <w:tr w:rsidR="00E37845">
        <w:trPr>
          <w:trHeight w:val="1552"/>
          <w:jc w:val="center"/>
        </w:trPr>
        <w:tc>
          <w:tcPr>
            <w:tcW w:w="84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lastRenderedPageBreak/>
              <w:t>A11</w:t>
            </w:r>
          </w:p>
        </w:tc>
        <w:tc>
          <w:tcPr>
            <w:tcW w:w="7483"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指导学生实习出现以下现象：</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1.未经批准，擅自缩短学生实习时间2天以内（含2天）。</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2.未经批准，擅自缩短学生实习时间3天。</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3.未经批准，擅自缩短学生实习时间4天及以上。</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4.实习工作管理不善，玩忽职守，导致出现学生人身伤亡。</w:t>
            </w:r>
          </w:p>
        </w:tc>
        <w:tc>
          <w:tcPr>
            <w:tcW w:w="75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Ⅳ</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Ⅲ</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Ⅱ</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Ⅰ</w:t>
            </w:r>
          </w:p>
        </w:tc>
      </w:tr>
      <w:tr w:rsidR="00E37845">
        <w:trPr>
          <w:trHeight w:val="1007"/>
          <w:jc w:val="center"/>
        </w:trPr>
        <w:tc>
          <w:tcPr>
            <w:tcW w:w="84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A12</w:t>
            </w:r>
          </w:p>
        </w:tc>
        <w:tc>
          <w:tcPr>
            <w:tcW w:w="7483"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监考时不遵守监考人员守则，出现以下现象：</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1.做与监考无关的事，如批改作业、使用通讯工具、聊天、打瞌睡等。</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2.其它严重失职行为，如考场秩序十分混乱、放任考生作弊等</w:t>
            </w:r>
            <w:r>
              <w:rPr>
                <w:rFonts w:ascii="仿宋_GB2312" w:eastAsia="仿宋_GB2312" w:hAnsi="仿宋_GB2312" w:cs="仿宋_GB2312" w:hint="eastAsia"/>
                <w:color w:val="000000" w:themeColor="text1"/>
                <w:sz w:val="24"/>
                <w:szCs w:val="24"/>
              </w:rPr>
              <w:t>。</w:t>
            </w:r>
          </w:p>
        </w:tc>
        <w:tc>
          <w:tcPr>
            <w:tcW w:w="75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Ⅳ</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Ⅲ</w:t>
            </w:r>
          </w:p>
        </w:tc>
      </w:tr>
      <w:tr w:rsidR="00E37845">
        <w:trPr>
          <w:trHeight w:val="1567"/>
          <w:jc w:val="center"/>
        </w:trPr>
        <w:tc>
          <w:tcPr>
            <w:tcW w:w="84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A13</w:t>
            </w:r>
          </w:p>
        </w:tc>
        <w:tc>
          <w:tcPr>
            <w:tcW w:w="7483"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试卷命题工作欠认真：</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1.导致试卷多处出现文字性错误，但不影响考试。</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2.导致试卷知识性、科学性错误较多，影响考试。</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3.导致重新组织考试。</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4.试题中出现意识形态问题，造成负面影响。</w:t>
            </w:r>
          </w:p>
        </w:tc>
        <w:tc>
          <w:tcPr>
            <w:tcW w:w="75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Ⅳ</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Ⅲ</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Ⅱ</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Ⅱ</w:t>
            </w:r>
          </w:p>
        </w:tc>
      </w:tr>
      <w:tr w:rsidR="00E37845">
        <w:trPr>
          <w:trHeight w:val="1439"/>
          <w:jc w:val="center"/>
        </w:trPr>
        <w:tc>
          <w:tcPr>
            <w:tcW w:w="84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A14</w:t>
            </w:r>
          </w:p>
        </w:tc>
        <w:tc>
          <w:tcPr>
            <w:tcW w:w="7483"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学生成绩评定工作欠认真：</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1.导致试卷评估不合格。</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2.导致成绩公布后，有4个及以上学生的成绩需要更正。</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3.不执行评分标准，随意评定4个及以上学生的成绩。</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4.不执行评分标准，随意评定成绩，情节严重。</w:t>
            </w:r>
          </w:p>
        </w:tc>
        <w:tc>
          <w:tcPr>
            <w:tcW w:w="75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Ⅳ</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Ⅳ</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Ⅲ</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Ⅱ</w:t>
            </w:r>
          </w:p>
        </w:tc>
      </w:tr>
      <w:tr w:rsidR="00E37845">
        <w:trPr>
          <w:trHeight w:val="969"/>
          <w:jc w:val="center"/>
        </w:trPr>
        <w:tc>
          <w:tcPr>
            <w:tcW w:w="84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A15</w:t>
            </w:r>
          </w:p>
        </w:tc>
        <w:tc>
          <w:tcPr>
            <w:tcW w:w="7483"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丢失学生试卷：</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1.导致个别学生没有成绩。</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2.导致一个班及以上学生没有成绩。</w:t>
            </w:r>
          </w:p>
        </w:tc>
        <w:tc>
          <w:tcPr>
            <w:tcW w:w="75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Ⅲ</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Ⅱ</w:t>
            </w:r>
          </w:p>
        </w:tc>
      </w:tr>
      <w:tr w:rsidR="00E37845">
        <w:trPr>
          <w:trHeight w:val="1799"/>
          <w:jc w:val="center"/>
        </w:trPr>
        <w:tc>
          <w:tcPr>
            <w:tcW w:w="84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A16</w:t>
            </w:r>
          </w:p>
        </w:tc>
        <w:tc>
          <w:tcPr>
            <w:tcW w:w="7483"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试题和答案出现以下现象：</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1.过失泄露试题或答案，未造成较大影响的。</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2.过失泄露试题或答案，造成较大影响的。</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3.有意泄露试题或答案，未造成较大影响的。</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4.有意泄露试题或答案，造成较大影响的。</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5.有意泄露试题或答案，造成恶劣影响的。</w:t>
            </w:r>
          </w:p>
        </w:tc>
        <w:tc>
          <w:tcPr>
            <w:tcW w:w="75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Ⅳ</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Ⅲ</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Ⅲ</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Ⅱ</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Ⅰ</w:t>
            </w:r>
          </w:p>
        </w:tc>
      </w:tr>
      <w:tr w:rsidR="00E37845">
        <w:trPr>
          <w:trHeight w:val="1574"/>
          <w:jc w:val="center"/>
        </w:trPr>
        <w:tc>
          <w:tcPr>
            <w:tcW w:w="84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A17</w:t>
            </w:r>
          </w:p>
        </w:tc>
        <w:tc>
          <w:tcPr>
            <w:tcW w:w="7483"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教学文件档案在保存期内没有妥善保管：</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1.导致出现争议后不能复查。</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2.影响学院评估工作。</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3.影响学校评估工作。</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4.给学校评估工作造成严重负面影响。</w:t>
            </w:r>
          </w:p>
        </w:tc>
        <w:tc>
          <w:tcPr>
            <w:tcW w:w="75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Ⅳ</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Ⅲ</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Ⅱ</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Ⅰ</w:t>
            </w:r>
          </w:p>
        </w:tc>
      </w:tr>
      <w:tr w:rsidR="00E37845">
        <w:trPr>
          <w:trHeight w:val="1160"/>
          <w:jc w:val="center"/>
        </w:trPr>
        <w:tc>
          <w:tcPr>
            <w:tcW w:w="84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A18</w:t>
            </w:r>
          </w:p>
        </w:tc>
        <w:tc>
          <w:tcPr>
            <w:tcW w:w="7483"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在教学活动期间：</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1.对学生实施体罚或辱骂，情节轻微。</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2.对学生实施体罚或辱骂，造成较大影响。</w:t>
            </w:r>
          </w:p>
          <w:p w:rsidR="00E37845" w:rsidRDefault="00E22BDD">
            <w:pPr>
              <w:adjustRightInd w:val="0"/>
              <w:snapToGrid w:val="0"/>
              <w:spacing w:line="26" w:lineRule="atLeas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3.对学生实施体罚、辱骂或殴打，导致严重后果。</w:t>
            </w:r>
          </w:p>
        </w:tc>
        <w:tc>
          <w:tcPr>
            <w:tcW w:w="75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Ⅲ</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Ⅱ</w:t>
            </w:r>
          </w:p>
          <w:p w:rsidR="00E37845" w:rsidRDefault="00E22BDD">
            <w:pPr>
              <w:adjustRightInd w:val="0"/>
              <w:snapToGrid w:val="0"/>
              <w:spacing w:line="26" w:lineRule="atLeast"/>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Ⅰ</w:t>
            </w:r>
          </w:p>
        </w:tc>
      </w:tr>
    </w:tbl>
    <w:p w:rsidR="00E37845" w:rsidRDefault="00E37845">
      <w:pPr>
        <w:adjustRightInd w:val="0"/>
        <w:snapToGrid w:val="0"/>
        <w:spacing w:line="26" w:lineRule="atLeast"/>
        <w:ind w:firstLineChars="200" w:firstLine="220"/>
        <w:jc w:val="left"/>
        <w:rPr>
          <w:rFonts w:ascii="仿宋_GB2312" w:eastAsia="仿宋_GB2312" w:hAnsi="仿宋_GB2312" w:cs="仿宋_GB2312"/>
          <w:color w:val="000000" w:themeColor="text1"/>
          <w:sz w:val="11"/>
          <w:szCs w:val="11"/>
        </w:rPr>
      </w:pPr>
    </w:p>
    <w:p w:rsidR="00E37845" w:rsidRDefault="00E22BDD">
      <w:pPr>
        <w:adjustRightInd w:val="0"/>
        <w:snapToGrid w:val="0"/>
        <w:spacing w:line="26" w:lineRule="atLeast"/>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教学事故发生后，处理办法和程序请按照《广州大学教学事故认定和处理办法（2017年11月修订）》（广大〔2017〕300号）执行。</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br w:type="page"/>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918" w:name="_Toc24090"/>
      <w:bookmarkStart w:id="1919" w:name="_Toc26332"/>
      <w:bookmarkStart w:id="1920" w:name="_Toc9747"/>
      <w:bookmarkStart w:id="1921" w:name="_Toc7426"/>
      <w:bookmarkStart w:id="1922" w:name="_Toc30986"/>
      <w:bookmarkStart w:id="1923" w:name="_Toc20237"/>
      <w:bookmarkStart w:id="1924" w:name="_Toc863"/>
      <w:bookmarkStart w:id="1925" w:name="_Toc15878"/>
      <w:bookmarkStart w:id="1926" w:name="_Toc12460"/>
      <w:bookmarkStart w:id="1927" w:name="_Toc8596"/>
      <w:bookmarkStart w:id="1928" w:name="_Toc18207"/>
      <w:bookmarkStart w:id="1929" w:name="_Toc27828"/>
      <w:bookmarkStart w:id="1930" w:name="_Toc15734"/>
      <w:bookmarkStart w:id="1931" w:name="_Toc3066"/>
      <w:bookmarkStart w:id="1932" w:name="_Toc23582"/>
      <w:bookmarkStart w:id="1933" w:name="_Toc516688919"/>
      <w:bookmarkStart w:id="1934" w:name="_Toc17097"/>
      <w:bookmarkStart w:id="1935" w:name="_Toc519780995"/>
      <w:bookmarkStart w:id="1936" w:name="_Toc3551"/>
      <w:bookmarkStart w:id="1937" w:name="_Toc9294"/>
      <w:bookmarkStart w:id="1938" w:name="_Toc8494"/>
      <w:bookmarkStart w:id="1939" w:name="_Toc27555"/>
      <w:bookmarkStart w:id="1940" w:name="_Toc27704"/>
      <w:bookmarkStart w:id="1941" w:name="_Toc19960"/>
      <w:bookmarkStart w:id="1942" w:name="_Toc26062"/>
      <w:bookmarkStart w:id="1943" w:name="_Toc9858"/>
      <w:bookmarkStart w:id="1944" w:name="_Toc3186"/>
      <w:bookmarkStart w:id="1945" w:name="_Toc4567"/>
      <w:bookmarkStart w:id="1946" w:name="_Toc5178"/>
      <w:bookmarkStart w:id="1947" w:name="_Toc3821"/>
      <w:r>
        <w:rPr>
          <w:rFonts w:ascii="黑体" w:eastAsia="黑体" w:hAnsi="黑体" w:cs="黑体" w:hint="eastAsia"/>
          <w:color w:val="000000" w:themeColor="text1"/>
          <w:sz w:val="28"/>
          <w:szCs w:val="28"/>
        </w:rPr>
        <w:lastRenderedPageBreak/>
        <w:t>5.7 教学工作量规定</w:t>
      </w:r>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r>
        <w:rPr>
          <w:rFonts w:ascii="黑体" w:eastAsia="黑体" w:hAnsi="黑体" w:cs="黑体" w:hint="eastAsia"/>
          <w:color w:val="000000" w:themeColor="text1"/>
          <w:sz w:val="28"/>
          <w:szCs w:val="28"/>
        </w:rPr>
        <w:t>（详见广大〔2017〕304号）</w:t>
      </w:r>
      <w:bookmarkEnd w:id="1941"/>
      <w:bookmarkEnd w:id="1942"/>
      <w:bookmarkEnd w:id="1943"/>
      <w:bookmarkEnd w:id="1944"/>
      <w:bookmarkEnd w:id="1945"/>
      <w:bookmarkEnd w:id="1946"/>
      <w:bookmarkEnd w:id="1947"/>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教学工作量考核要求：</w:t>
      </w:r>
      <w:r>
        <w:rPr>
          <w:rFonts w:ascii="仿宋_GB2312" w:eastAsia="仿宋_GB2312" w:hAnsi="仿宋_GB2312" w:cs="仿宋_GB2312" w:hint="eastAsia"/>
          <w:color w:val="000000" w:themeColor="text1"/>
          <w:sz w:val="24"/>
          <w:szCs w:val="24"/>
        </w:rPr>
        <w:t>所有教师都必须承担本科教学工作，且每学年授课不少于</w:t>
      </w:r>
      <w:r>
        <w:rPr>
          <w:rFonts w:ascii="仿宋_GB2312" w:eastAsia="仿宋_GB2312" w:hAnsi="仿宋_GB2312" w:cs="仿宋_GB2312"/>
          <w:color w:val="000000" w:themeColor="text1"/>
          <w:sz w:val="24"/>
          <w:szCs w:val="24"/>
        </w:rPr>
        <w:t>32课时。教授、副教授每年应独立承担一门以上（含一门）本科生课程。</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每学年课堂教学课时最低要求：</w:t>
      </w:r>
      <w:r>
        <w:rPr>
          <w:rFonts w:ascii="仿宋_GB2312" w:eastAsia="仿宋_GB2312" w:hAnsi="仿宋_GB2312" w:cs="仿宋_GB2312" w:hint="eastAsia"/>
          <w:color w:val="000000" w:themeColor="text1"/>
          <w:sz w:val="24"/>
          <w:szCs w:val="24"/>
        </w:rPr>
        <w:t>①教学型教师：</w:t>
      </w:r>
      <w:r>
        <w:rPr>
          <w:rFonts w:ascii="仿宋_GB2312" w:eastAsia="仿宋_GB2312" w:hAnsi="仿宋_GB2312" w:cs="仿宋_GB2312"/>
          <w:color w:val="000000" w:themeColor="text1"/>
          <w:sz w:val="24"/>
          <w:szCs w:val="24"/>
        </w:rPr>
        <w:t>320节（±30%，根据生师比确定）；</w:t>
      </w:r>
      <w:r>
        <w:rPr>
          <w:rFonts w:ascii="仿宋_GB2312" w:eastAsia="仿宋_GB2312" w:hAnsi="仿宋_GB2312" w:cs="仿宋_GB2312" w:hint="eastAsia"/>
          <w:color w:val="000000" w:themeColor="text1"/>
          <w:sz w:val="24"/>
          <w:szCs w:val="24"/>
        </w:rPr>
        <w:t>②教学科研型：</w:t>
      </w:r>
      <w:r>
        <w:rPr>
          <w:rFonts w:ascii="仿宋_GB2312" w:eastAsia="仿宋_GB2312" w:hAnsi="仿宋_GB2312" w:cs="仿宋_GB2312"/>
          <w:color w:val="000000" w:themeColor="text1"/>
          <w:sz w:val="24"/>
          <w:szCs w:val="24"/>
        </w:rPr>
        <w:t>96节（±30%，根据生师比确定）；</w:t>
      </w:r>
      <w:r>
        <w:rPr>
          <w:rFonts w:ascii="仿宋_GB2312" w:eastAsia="仿宋_GB2312" w:hAnsi="仿宋_GB2312" w:cs="仿宋_GB2312" w:hint="eastAsia"/>
          <w:color w:val="000000" w:themeColor="text1"/>
          <w:sz w:val="24"/>
          <w:szCs w:val="24"/>
        </w:rPr>
        <w:t>③科研型：</w:t>
      </w:r>
      <w:r>
        <w:rPr>
          <w:rFonts w:ascii="仿宋_GB2312" w:eastAsia="仿宋_GB2312" w:hAnsi="仿宋_GB2312" w:cs="仿宋_GB2312"/>
          <w:color w:val="000000" w:themeColor="text1"/>
          <w:sz w:val="24"/>
          <w:szCs w:val="24"/>
        </w:rPr>
        <w:t>32节</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每学年教学工作量要求：</w:t>
      </w:r>
      <w:r>
        <w:rPr>
          <w:rFonts w:ascii="仿宋_GB2312" w:eastAsia="仿宋_GB2312" w:hAnsi="仿宋_GB2312" w:cs="仿宋_GB2312" w:hint="eastAsia"/>
          <w:color w:val="000000" w:themeColor="text1"/>
          <w:sz w:val="24"/>
          <w:szCs w:val="24"/>
        </w:rPr>
        <w:t>①教学型：</w:t>
      </w:r>
      <w:r>
        <w:rPr>
          <w:rFonts w:ascii="仿宋_GB2312" w:eastAsia="仿宋_GB2312" w:hAnsi="仿宋_GB2312" w:cs="仿宋_GB2312"/>
          <w:color w:val="000000" w:themeColor="text1"/>
          <w:sz w:val="24"/>
          <w:szCs w:val="24"/>
        </w:rPr>
        <w:t>380学时（±30%，根据生师比确定）；</w:t>
      </w:r>
      <w:r>
        <w:rPr>
          <w:rFonts w:ascii="仿宋_GB2312" w:eastAsia="仿宋_GB2312" w:hAnsi="仿宋_GB2312" w:cs="仿宋_GB2312" w:hint="eastAsia"/>
          <w:color w:val="000000" w:themeColor="text1"/>
          <w:sz w:val="24"/>
          <w:szCs w:val="24"/>
        </w:rPr>
        <w:t>②教学科研型：</w:t>
      </w:r>
      <w:r>
        <w:rPr>
          <w:rFonts w:ascii="仿宋_GB2312" w:eastAsia="仿宋_GB2312" w:hAnsi="仿宋_GB2312" w:cs="仿宋_GB2312"/>
          <w:color w:val="000000" w:themeColor="text1"/>
          <w:sz w:val="24"/>
          <w:szCs w:val="24"/>
        </w:rPr>
        <w:t>208学时（±30%，根据生师比确定）；</w:t>
      </w:r>
      <w:r>
        <w:rPr>
          <w:rFonts w:ascii="仿宋_GB2312" w:eastAsia="仿宋_GB2312" w:hAnsi="仿宋_GB2312" w:cs="仿宋_GB2312" w:hint="eastAsia"/>
          <w:color w:val="000000" w:themeColor="text1"/>
          <w:sz w:val="24"/>
          <w:szCs w:val="24"/>
        </w:rPr>
        <w:t>③科研型：</w:t>
      </w:r>
      <w:r>
        <w:rPr>
          <w:rFonts w:ascii="仿宋_GB2312" w:eastAsia="仿宋_GB2312" w:hAnsi="仿宋_GB2312" w:cs="仿宋_GB2312"/>
          <w:color w:val="000000" w:themeColor="text1"/>
          <w:sz w:val="24"/>
          <w:szCs w:val="24"/>
        </w:rPr>
        <w:t>72学时</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教师担任班主任、辅导员，指导学生创新创业、社会实践、各类竞赛，老中青教师“传帮带”等工作，计入教学工作量。其中指导青年教师教学工作量按</w:t>
      </w:r>
      <w:r>
        <w:rPr>
          <w:rFonts w:ascii="仿宋_GB2312" w:eastAsia="仿宋_GB2312" w:hAnsi="仿宋_GB2312" w:cs="仿宋_GB2312"/>
          <w:color w:val="000000" w:themeColor="text1"/>
          <w:sz w:val="24"/>
          <w:szCs w:val="24"/>
        </w:rPr>
        <w:t>10学时/学期·人计算，由教务处审核后计入本科教学工作量。</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担任行政管理工作的专任教师，给予一定本科教学工作量减免；兼任正院级党政领导职务，每学年减免</w:t>
      </w:r>
      <w:r>
        <w:rPr>
          <w:rFonts w:ascii="仿宋_GB2312" w:eastAsia="仿宋_GB2312" w:hAnsi="仿宋_GB2312" w:cs="仿宋_GB2312"/>
          <w:color w:val="000000" w:themeColor="text1"/>
          <w:sz w:val="24"/>
          <w:szCs w:val="24"/>
        </w:rPr>
        <w:t>140学时本科教学工作量，减免32节本科课堂教学课时；兼任其他副院级党政领导职务，每学年减免110学时本科教学工作量；兼任系级党政领导职务，每学年减免50学时本科教学工作量。</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br w:type="page"/>
      </w:r>
    </w:p>
    <w:p w:rsidR="00E37845" w:rsidRDefault="00E22BDD">
      <w:pPr>
        <w:pStyle w:val="1"/>
        <w:adjustRightInd w:val="0"/>
        <w:snapToGrid w:val="0"/>
        <w:spacing w:beforeLines="100" w:before="312" w:afterLines="100" w:after="312" w:line="360" w:lineRule="auto"/>
        <w:rPr>
          <w:rFonts w:ascii="微软雅黑" w:eastAsia="微软雅黑" w:hAnsi="微软雅黑" w:cs="微软雅黑"/>
        </w:rPr>
      </w:pPr>
      <w:bookmarkStart w:id="1948" w:name="_Toc7032"/>
      <w:bookmarkStart w:id="1949" w:name="_Toc16099"/>
      <w:bookmarkStart w:id="1950" w:name="_Toc5385"/>
      <w:bookmarkStart w:id="1951" w:name="_Toc29299"/>
      <w:bookmarkStart w:id="1952" w:name="_Toc19860"/>
      <w:bookmarkStart w:id="1953" w:name="_Toc4827"/>
      <w:bookmarkStart w:id="1954" w:name="_Toc9357"/>
      <w:bookmarkStart w:id="1955" w:name="_Toc29546"/>
      <w:bookmarkStart w:id="1956" w:name="_Toc4617"/>
      <w:bookmarkStart w:id="1957" w:name="_Toc12603"/>
      <w:bookmarkStart w:id="1958" w:name="_Toc9411"/>
      <w:r>
        <w:rPr>
          <w:rFonts w:ascii="微软雅黑" w:eastAsia="微软雅黑" w:hAnsi="微软雅黑" w:cs="微软雅黑" w:hint="eastAsia"/>
        </w:rPr>
        <w:lastRenderedPageBreak/>
        <w:t>6.研究生培养工作</w:t>
      </w:r>
      <w:bookmarkEnd w:id="1948"/>
      <w:bookmarkEnd w:id="1949"/>
      <w:bookmarkEnd w:id="1950"/>
      <w:bookmarkEnd w:id="1951"/>
      <w:bookmarkEnd w:id="1952"/>
      <w:bookmarkEnd w:id="1953"/>
      <w:bookmarkEnd w:id="1954"/>
      <w:bookmarkEnd w:id="1955"/>
      <w:bookmarkEnd w:id="1956"/>
      <w:bookmarkEnd w:id="1957"/>
      <w:bookmarkEnd w:id="1958"/>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959" w:name="_Toc2632"/>
      <w:bookmarkStart w:id="1960" w:name="_Toc519780996"/>
      <w:bookmarkStart w:id="1961" w:name="_Toc20319"/>
      <w:bookmarkStart w:id="1962" w:name="_Toc32479"/>
      <w:bookmarkStart w:id="1963" w:name="_Toc16731"/>
      <w:bookmarkStart w:id="1964" w:name="_Toc1139"/>
      <w:bookmarkStart w:id="1965" w:name="_Toc8781"/>
      <w:bookmarkStart w:id="1966" w:name="_Toc4036"/>
      <w:bookmarkStart w:id="1967" w:name="_Toc11596"/>
      <w:bookmarkStart w:id="1968" w:name="_Toc7107"/>
      <w:bookmarkStart w:id="1969" w:name="_Toc4980"/>
      <w:bookmarkStart w:id="1970" w:name="_Toc2886"/>
      <w:bookmarkStart w:id="1971" w:name="_Toc7424"/>
      <w:bookmarkStart w:id="1972" w:name="_Toc22504"/>
      <w:bookmarkStart w:id="1973" w:name="_Toc11041"/>
      <w:bookmarkStart w:id="1974" w:name="_Toc13335"/>
      <w:bookmarkStart w:id="1975" w:name="_Toc28733"/>
      <w:bookmarkStart w:id="1976" w:name="_Toc29379"/>
      <w:bookmarkStart w:id="1977" w:name="_Toc3941"/>
      <w:bookmarkStart w:id="1978" w:name="_Toc3070"/>
      <w:bookmarkStart w:id="1979" w:name="_Toc11595"/>
      <w:bookmarkStart w:id="1980" w:name="_Toc10000"/>
      <w:bookmarkStart w:id="1981" w:name="_Toc9715"/>
      <w:bookmarkStart w:id="1982" w:name="_Toc14129"/>
      <w:bookmarkStart w:id="1983" w:name="_Toc10222"/>
      <w:bookmarkStart w:id="1984" w:name="_Toc18052"/>
      <w:r>
        <w:rPr>
          <w:rFonts w:ascii="黑体" w:eastAsia="黑体" w:hAnsi="黑体" w:cs="黑体" w:hint="eastAsia"/>
          <w:color w:val="000000" w:themeColor="text1"/>
          <w:sz w:val="28"/>
          <w:szCs w:val="28"/>
        </w:rPr>
        <w:t>6.1 研究生导师任职资格遴选条件（此办法为试行，新办法正在修订）</w:t>
      </w:r>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申请研究生导师任职资格者，应在所申请的学位授权学科（专业学位类别</w:t>
      </w:r>
      <w:r>
        <w:rPr>
          <w:rFonts w:ascii="仿宋_GB2312" w:eastAsia="仿宋_GB2312" w:hAnsi="仿宋_GB2312" w:cs="仿宋_GB2312"/>
          <w:color w:val="000000" w:themeColor="text1"/>
          <w:sz w:val="24"/>
          <w:szCs w:val="24"/>
        </w:rPr>
        <w:t>/领域）内形成较为稳定的研究方向，熟悉有关学位与研究生教育的政策法规，恪守学术道德，具有严谨的治学态度，严格遵守学术规范，热爱研究生教育事业，认真履行导师职责，为人师表，无违反学校教师行为规范及其他违法违纪行为，身体健康，年龄一般不超过57周岁。</w:t>
      </w:r>
    </w:p>
    <w:p w:rsidR="00E37845" w:rsidRDefault="00E22BDD">
      <w:pPr>
        <w:adjustRightInd w:val="0"/>
        <w:snapToGrid w:val="0"/>
        <w:spacing w:line="336"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一、博士生导师任职基本条件</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）校内在编人员；</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具有正高专业技术职务和博士学位；</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近5年，所从事的研究方向有重要的理论意义或应用价值。正在主持承担1项与所申报博士研究生指导专业方向相关的国家级纵向科研项目，有充裕的科研经费；</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w:t>
      </w:r>
      <w:r>
        <w:rPr>
          <w:rFonts w:ascii="仿宋_GB2312" w:eastAsia="仿宋_GB2312" w:hAnsi="仿宋_GB2312" w:cs="仿宋_GB2312"/>
          <w:color w:val="000000" w:themeColor="text1"/>
          <w:sz w:val="24"/>
          <w:szCs w:val="24"/>
        </w:rPr>
        <w:t>）近5年，有较高的学术造诣和重要的科研成果。科研成果具体要求细则由各相关学院成立专家委员会制定，细则公示后报学校学位评定委员会办公室备案。</w:t>
      </w:r>
    </w:p>
    <w:p w:rsidR="00E37845" w:rsidRDefault="00E22BDD">
      <w:pPr>
        <w:adjustRightInd w:val="0"/>
        <w:snapToGrid w:val="0"/>
        <w:spacing w:line="336"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二、学术型硕士生导师任职基本条件</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具有副高以上专业技术职称，45岁及以下应具有博士学位（艺术类、体育类学科教师应有硕士学位）；或具有博士学位,工作2年以上的青年教师。</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近5年，有较稳定的研究方向，正在主持承担1项与所申报硕士研究生指导专业方向相关且有一定的科研经费的省部级及以上纵向科研项目。</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）近5年科研成果至少应满足以下三项条件之一:</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1.文科类教师要求以第一作者在国内</w:t>
      </w:r>
      <w:r>
        <w:rPr>
          <w:rFonts w:ascii="仿宋_GB2312" w:eastAsia="仿宋_GB2312" w:hAnsi="仿宋_GB2312" w:cs="仿宋_GB2312"/>
          <w:color w:val="000000" w:themeColor="text1"/>
          <w:sz w:val="24"/>
          <w:szCs w:val="24"/>
        </w:rPr>
        <w:t>CSSCI来源刊发表论文3篇，或在一类A刊发表论文1篇，或在一类B刊发表论文2篇；理工科教师要求以第一作者发表被SCI收录论文2篇或EI收录论文3篇。一类刊物界定参见学校相关文件。</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2.广州市科技进步奖、哲学社会科学成果奖受奖人；省部级科研成果奖及以上受奖人；</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3.独撰或以第一作者出版与所申报的一级硕士学位点学科范围内的学术专著</w:t>
      </w:r>
      <w:r>
        <w:rPr>
          <w:rFonts w:ascii="仿宋_GB2312" w:eastAsia="仿宋_GB2312" w:hAnsi="仿宋_GB2312" w:cs="仿宋_GB2312"/>
          <w:color w:val="000000" w:themeColor="text1"/>
          <w:sz w:val="24"/>
          <w:szCs w:val="24"/>
        </w:rPr>
        <w:t>1部（论文集不计）；或获得发明专利授权2项；或主持完成的研究报告被国家部委、省级政府采纳实施。</w:t>
      </w:r>
    </w:p>
    <w:p w:rsidR="00E37845" w:rsidRDefault="00E22BDD">
      <w:pPr>
        <w:adjustRightInd w:val="0"/>
        <w:snapToGrid w:val="0"/>
        <w:spacing w:line="336"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三、专业型硕士生导师任职基本条件</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）校内人员申请的基本条件</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lastRenderedPageBreak/>
        <w:t>1.具有副教授以上或相当的专业技术职称；或具有博士学位（艺术类、体育类学科教师应有硕士学位）</w:t>
      </w:r>
      <w:r>
        <w:rPr>
          <w:rFonts w:ascii="仿宋_GB2312" w:eastAsia="仿宋_GB2312" w:hAnsi="仿宋_GB2312" w:cs="仿宋_GB2312"/>
          <w:color w:val="000000" w:themeColor="text1"/>
          <w:sz w:val="24"/>
          <w:szCs w:val="24"/>
        </w:rPr>
        <w:t>,工作2年以上的青年教师。</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2.具有一定的相关行业实践经验，有稳定的科研方向，近</w:t>
      </w:r>
      <w:r>
        <w:rPr>
          <w:rFonts w:ascii="仿宋_GB2312" w:eastAsia="仿宋_GB2312" w:hAnsi="仿宋_GB2312" w:cs="仿宋_GB2312"/>
          <w:color w:val="000000" w:themeColor="text1"/>
          <w:sz w:val="24"/>
          <w:szCs w:val="24"/>
        </w:rPr>
        <w:t>5年至少主持属于所申请的专业学位类别（领域）的科研项目1项。</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2.近</w:t>
      </w:r>
      <w:r>
        <w:rPr>
          <w:rFonts w:ascii="仿宋_GB2312" w:eastAsia="仿宋_GB2312" w:hAnsi="仿宋_GB2312" w:cs="仿宋_GB2312"/>
          <w:color w:val="000000" w:themeColor="text1"/>
          <w:sz w:val="24"/>
          <w:szCs w:val="24"/>
        </w:rPr>
        <w:t xml:space="preserve">5年科研成果至少应满足以下三项条件之一: </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一是文科类教师要求以第一作者在国内</w:t>
      </w:r>
      <w:r>
        <w:rPr>
          <w:rFonts w:ascii="仿宋_GB2312" w:eastAsia="仿宋_GB2312" w:hAnsi="仿宋_GB2312" w:cs="仿宋_GB2312"/>
          <w:color w:val="000000" w:themeColor="text1"/>
          <w:sz w:val="24"/>
          <w:szCs w:val="24"/>
        </w:rPr>
        <w:t>CSSCI来源刊发表论文3篇，或在一类A刊发表论文1篇，或在一类B刊发表论文2篇；理工科教师要求以第一作者发表被SCI收录论文2篇或EI收录论文3篇。一类刊物界定参见学校相关文件。</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二是广州市科技进步奖、哲学社会科学成果奖受奖人；省部级科研成果奖及以上受奖人；</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三是参加全国性艺术作品展、文艺表演赛、全国性体育竞赛、主要技术推广或开发等。此项条件各学院分委员会须根据活动获奖难度、级别或参与人贡献大小等情况，结合本专业学位类别的特点加以细化执行。</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校外人员申请的基本条件</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1.具有硕士学位（艺术类、体育类学科可适当放宽）；</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2.在一线从事相应专业学位领域的教学、研究、设计、服务与管理等工作，为各单位的专业骨干，有丰富的实践经验。</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3.具有较充足的时间承担专业学位研究生实践教学、专题讲座、指导专业学位研究生开展专业实践与研究等工作任务，具备开展专业实践的资源和条件。</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1985" w:name="_Toc29511"/>
      <w:bookmarkStart w:id="1986" w:name="_Toc27303"/>
      <w:bookmarkStart w:id="1987" w:name="_Toc13695"/>
      <w:bookmarkStart w:id="1988" w:name="_Toc12288"/>
      <w:bookmarkStart w:id="1989" w:name="_Toc16120"/>
      <w:bookmarkStart w:id="1990" w:name="_Toc15025"/>
      <w:bookmarkStart w:id="1991" w:name="_Toc9604"/>
      <w:bookmarkStart w:id="1992" w:name="_Toc10303"/>
      <w:bookmarkStart w:id="1993" w:name="_Toc519780997"/>
      <w:bookmarkStart w:id="1994" w:name="_Toc8631"/>
      <w:bookmarkStart w:id="1995" w:name="_Toc12657"/>
      <w:bookmarkStart w:id="1996" w:name="_Toc8305"/>
      <w:bookmarkStart w:id="1997" w:name="_Toc19597"/>
      <w:bookmarkStart w:id="1998" w:name="_Toc14518"/>
      <w:bookmarkStart w:id="1999" w:name="_Toc25840"/>
      <w:bookmarkStart w:id="2000" w:name="_Toc23054"/>
      <w:bookmarkStart w:id="2001" w:name="_Toc31275"/>
      <w:bookmarkStart w:id="2002" w:name="_Toc5401"/>
      <w:bookmarkStart w:id="2003" w:name="_Toc29397"/>
      <w:bookmarkStart w:id="2004" w:name="_Toc28928"/>
      <w:bookmarkStart w:id="2005" w:name="_Toc25565"/>
      <w:bookmarkStart w:id="2006" w:name="_Toc31043"/>
      <w:bookmarkStart w:id="2007" w:name="_Toc17024"/>
      <w:bookmarkStart w:id="2008" w:name="_Toc24934"/>
      <w:bookmarkStart w:id="2009" w:name="_Toc26580"/>
      <w:bookmarkStart w:id="2010" w:name="_Toc32205"/>
      <w:r>
        <w:rPr>
          <w:rFonts w:ascii="黑体" w:eastAsia="黑体" w:hAnsi="黑体" w:cs="黑体" w:hint="eastAsia"/>
          <w:color w:val="000000" w:themeColor="text1"/>
          <w:sz w:val="28"/>
          <w:szCs w:val="28"/>
        </w:rPr>
        <w:t>6.2 研究生导师招生资格遴选条件（此办法为试行，新办法正在修订）</w:t>
      </w:r>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p>
    <w:p w:rsidR="00E37845" w:rsidRDefault="00E22BDD">
      <w:pPr>
        <w:adjustRightInd w:val="0"/>
        <w:snapToGrid w:val="0"/>
        <w:spacing w:line="336"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一、博士生导师招生基本条件</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具备博士生导师任职资格，且年度考核合格；</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指导的在校博士生总数不超过6人；</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主持承担在研（含招生资格审核前一年的在研项目，在研时间以获批的在研时间段为准，不含延期时间）、有较充裕科研经费的国家级纵向科研项目1项；</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w:t>
      </w:r>
      <w:r>
        <w:rPr>
          <w:rFonts w:ascii="仿宋_GB2312" w:eastAsia="仿宋_GB2312" w:hAnsi="仿宋_GB2312" w:cs="仿宋_GB2312"/>
          <w:color w:val="000000" w:themeColor="text1"/>
          <w:sz w:val="24"/>
          <w:szCs w:val="24"/>
        </w:rPr>
        <w:t>）近3年，有重要的科研成果。科研成果（论文、获奖等）具体要求细则由各相关学院成立专家委员会制定，细则公示后报学校学位评定委员会办公室备案。</w:t>
      </w:r>
    </w:p>
    <w:p w:rsidR="00E37845" w:rsidRDefault="00E22BDD">
      <w:pPr>
        <w:adjustRightInd w:val="0"/>
        <w:snapToGrid w:val="0"/>
        <w:spacing w:line="336"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二、学术型硕士生导师招生基本条件</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）具备学术型硕士生导师任职资格，且年度考核合格；</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指导的在校学术型硕士生总数不超过8人，每届指导的学术型硕士研究生总数不超过2人；</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lastRenderedPageBreak/>
        <w:t>（三</w:t>
      </w:r>
      <w:r>
        <w:rPr>
          <w:rFonts w:ascii="仿宋_GB2312" w:eastAsia="仿宋_GB2312" w:hAnsi="仿宋_GB2312" w:cs="仿宋_GB2312"/>
          <w:color w:val="000000" w:themeColor="text1"/>
          <w:sz w:val="24"/>
          <w:szCs w:val="24"/>
        </w:rPr>
        <w:t>）正在主持承担在研（含招生资格审核前一年的在研项目，在研时间以获批的在研时间段为准，不含延期时间）、有较充裕科研经费的省部级及以上纵向科研项目1项；</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w:t>
      </w:r>
      <w:r>
        <w:rPr>
          <w:rFonts w:ascii="仿宋_GB2312" w:eastAsia="仿宋_GB2312" w:hAnsi="仿宋_GB2312" w:cs="仿宋_GB2312"/>
          <w:color w:val="000000" w:themeColor="text1"/>
          <w:sz w:val="24"/>
          <w:szCs w:val="24"/>
        </w:rPr>
        <w:t>）近3年有重要的科研成果。科研成果（论文、获奖等）具体要求细则由各相关学院成立专家委员会制定，细则公示后报学校学位评定委员会办公室备案。</w:t>
      </w:r>
    </w:p>
    <w:p w:rsidR="00E37845" w:rsidRDefault="00E22BDD">
      <w:pPr>
        <w:adjustRightInd w:val="0"/>
        <w:snapToGrid w:val="0"/>
        <w:spacing w:line="336"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三、专业型硕士生导师招生基本条件</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具备专业型硕士生导师任职资格，且年度考核合格；</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指导在校专业型硕士生总数不超过12人，每届指导的专业型硕士研究生总数不超过3人。</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原则上应承担实际应用研究项目，能为专业学位研究生提供良好的实习实践活动条件和指导。</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w:t>
      </w:r>
      <w:r>
        <w:rPr>
          <w:rFonts w:ascii="仿宋_GB2312" w:eastAsia="仿宋_GB2312" w:hAnsi="仿宋_GB2312" w:cs="仿宋_GB2312"/>
          <w:color w:val="000000" w:themeColor="text1"/>
          <w:sz w:val="24"/>
          <w:szCs w:val="24"/>
        </w:rPr>
        <w:t>）近3年有一定的科研成果。科研成果（论文、获奖等）具体要求细则由各相关学院成立专家委员会制定，细则公示后报学校学位评定委员会办公室备案。</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011" w:name="_Toc4621"/>
      <w:bookmarkStart w:id="2012" w:name="_Toc9752"/>
      <w:bookmarkStart w:id="2013" w:name="_Toc32692"/>
      <w:bookmarkStart w:id="2014" w:name="_Toc23864"/>
      <w:bookmarkStart w:id="2015" w:name="_Toc28799"/>
      <w:bookmarkStart w:id="2016" w:name="_Toc26886"/>
      <w:bookmarkStart w:id="2017" w:name="_Toc17539"/>
      <w:bookmarkStart w:id="2018" w:name="_Toc8937"/>
      <w:bookmarkStart w:id="2019" w:name="_Toc14627"/>
      <w:bookmarkStart w:id="2020" w:name="_Toc10233"/>
      <w:bookmarkStart w:id="2021" w:name="_Toc16117"/>
      <w:bookmarkStart w:id="2022" w:name="_Toc15128"/>
      <w:bookmarkStart w:id="2023" w:name="_Toc8293"/>
      <w:bookmarkStart w:id="2024" w:name="_Toc519780998"/>
      <w:bookmarkStart w:id="2025" w:name="_Toc18462"/>
      <w:bookmarkStart w:id="2026" w:name="_Toc13040"/>
      <w:bookmarkStart w:id="2027" w:name="_Toc9244"/>
      <w:bookmarkStart w:id="2028" w:name="_Toc1691"/>
      <w:bookmarkStart w:id="2029" w:name="_Toc6920"/>
      <w:bookmarkStart w:id="2030" w:name="_Toc11607"/>
      <w:bookmarkStart w:id="2031" w:name="_Toc26752"/>
      <w:bookmarkStart w:id="2032" w:name="_Toc3129"/>
      <w:bookmarkStart w:id="2033" w:name="_Toc16822"/>
      <w:bookmarkStart w:id="2034" w:name="_Toc10811"/>
      <w:bookmarkStart w:id="2035" w:name="_Toc4773"/>
      <w:bookmarkStart w:id="2036" w:name="_Toc28500"/>
      <w:r>
        <w:rPr>
          <w:rFonts w:ascii="黑体" w:eastAsia="黑体" w:hAnsi="黑体" w:cs="黑体" w:hint="eastAsia"/>
          <w:color w:val="000000" w:themeColor="text1"/>
          <w:sz w:val="28"/>
          <w:szCs w:val="28"/>
        </w:rPr>
        <w:t>6.3 优秀生源奖励标准</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p w:rsidR="00E37845" w:rsidRDefault="00E22BDD">
      <w:pPr>
        <w:adjustRightInd w:val="0"/>
        <w:snapToGrid w:val="0"/>
        <w:spacing w:line="336"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一、优秀生源界定</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（一）我校接收的所有硕士推免生；</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（二）报考或调剂到我校全日制攻读的硕士研究生中来源于</w:t>
      </w:r>
      <w:r>
        <w:rPr>
          <w:rFonts w:ascii="仿宋_GB2312" w:eastAsia="仿宋_GB2312" w:hAnsi="仿宋_GB2312" w:cs="仿宋_GB2312"/>
          <w:color w:val="000000" w:themeColor="text1"/>
          <w:sz w:val="24"/>
          <w:szCs w:val="24"/>
        </w:rPr>
        <w:t>985、211高校全日制本科毕业生生源。</w:t>
      </w:r>
    </w:p>
    <w:p w:rsidR="00E37845" w:rsidRDefault="00E22BDD">
      <w:pPr>
        <w:adjustRightInd w:val="0"/>
        <w:snapToGrid w:val="0"/>
        <w:spacing w:line="336"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二、奖励标准</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（一）推免生</w:t>
      </w:r>
      <w:r>
        <w:rPr>
          <w:rFonts w:ascii="仿宋_GB2312" w:eastAsia="仿宋_GB2312" w:hAnsi="仿宋_GB2312" w:cs="仿宋_GB2312"/>
          <w:color w:val="000000" w:themeColor="text1"/>
          <w:sz w:val="24"/>
          <w:szCs w:val="24"/>
        </w:rPr>
        <w:t>.985或211高校奖励5万元/人，其他高校（含本校）奖励3万元/人；</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（二）第一志愿考生</w:t>
      </w:r>
      <w:r>
        <w:rPr>
          <w:rFonts w:ascii="仿宋_GB2312" w:eastAsia="仿宋_GB2312" w:hAnsi="仿宋_GB2312" w:cs="仿宋_GB2312"/>
          <w:color w:val="000000" w:themeColor="text1"/>
          <w:sz w:val="24"/>
          <w:szCs w:val="24"/>
        </w:rPr>
        <w:t>.985或211高校奖励4万元/人；</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（三）调剂生</w:t>
      </w:r>
      <w:r>
        <w:rPr>
          <w:rFonts w:ascii="仿宋_GB2312" w:eastAsia="仿宋_GB2312" w:hAnsi="仿宋_GB2312" w:cs="仿宋_GB2312"/>
          <w:color w:val="000000" w:themeColor="text1"/>
          <w:sz w:val="24"/>
          <w:szCs w:val="24"/>
        </w:rPr>
        <w:t>.985或211高校奖励3万元/人。</w:t>
      </w:r>
    </w:p>
    <w:p w:rsidR="00E37845" w:rsidRDefault="00E22BDD">
      <w:pPr>
        <w:adjustRightInd w:val="0"/>
        <w:snapToGrid w:val="0"/>
        <w:spacing w:line="336"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三、奖励方式</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学生入校后分两个年度发放奖励金额。</w:t>
      </w:r>
    </w:p>
    <w:p w:rsidR="00E37845" w:rsidRDefault="00E22BDD">
      <w:pPr>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详见《广州大学研究生导师任职资格和招生资格遴选办法（试行）》、《广州大学关于接收硕士研究生优秀生源奖励办法》</w:t>
      </w:r>
    </w:p>
    <w:p w:rsidR="00E37845" w:rsidRDefault="00E22BDD">
      <w:pPr>
        <w:widowControl/>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sz w:val="24"/>
          <w:szCs w:val="24"/>
        </w:rPr>
        <w:br w:type="page"/>
      </w:r>
    </w:p>
    <w:p w:rsidR="00E37845" w:rsidRDefault="00E22BDD">
      <w:pPr>
        <w:pStyle w:val="1"/>
        <w:adjustRightInd w:val="0"/>
        <w:snapToGrid w:val="0"/>
        <w:spacing w:beforeLines="50" w:before="156" w:afterLines="100" w:after="312"/>
        <w:rPr>
          <w:rFonts w:ascii="微软雅黑" w:eastAsia="微软雅黑" w:hAnsi="微软雅黑" w:cs="微软雅黑"/>
        </w:rPr>
      </w:pPr>
      <w:bookmarkStart w:id="2037" w:name="_Toc31666"/>
      <w:bookmarkStart w:id="2038" w:name="_Toc21721"/>
      <w:bookmarkStart w:id="2039" w:name="_Toc11358"/>
      <w:bookmarkStart w:id="2040" w:name="_Toc11801"/>
      <w:bookmarkStart w:id="2041" w:name="_Toc9024"/>
      <w:bookmarkStart w:id="2042" w:name="_Toc17999"/>
      <w:bookmarkStart w:id="2043" w:name="_Toc28270"/>
      <w:bookmarkStart w:id="2044" w:name="_Toc145"/>
      <w:bookmarkStart w:id="2045" w:name="_Toc9073"/>
      <w:bookmarkStart w:id="2046" w:name="_Toc20603"/>
      <w:bookmarkStart w:id="2047" w:name="_Toc18375"/>
      <w:bookmarkStart w:id="2048" w:name="_Toc429"/>
      <w:bookmarkStart w:id="2049" w:name="_Toc21861"/>
      <w:bookmarkStart w:id="2050" w:name="_Toc25969"/>
      <w:bookmarkStart w:id="2051" w:name="_Toc7497"/>
      <w:bookmarkStart w:id="2052" w:name="_Toc10227"/>
      <w:bookmarkStart w:id="2053" w:name="_Toc26275"/>
      <w:bookmarkStart w:id="2054" w:name="_Toc3069"/>
      <w:bookmarkStart w:id="2055" w:name="_Toc519780999"/>
      <w:bookmarkStart w:id="2056" w:name="_Toc6172"/>
      <w:bookmarkStart w:id="2057" w:name="_Toc7746"/>
      <w:bookmarkStart w:id="2058" w:name="_Toc13461"/>
      <w:bookmarkStart w:id="2059" w:name="_Toc11315"/>
      <w:bookmarkStart w:id="2060" w:name="_Toc27377"/>
      <w:bookmarkStart w:id="2061" w:name="_Toc12701"/>
      <w:bookmarkStart w:id="2062" w:name="_Toc15"/>
      <w:bookmarkStart w:id="2063" w:name="_Toc270"/>
      <w:bookmarkStart w:id="2064" w:name="_Toc27945"/>
      <w:bookmarkStart w:id="2065" w:name="_Toc23836"/>
      <w:r>
        <w:rPr>
          <w:rFonts w:ascii="微软雅黑" w:eastAsia="微软雅黑" w:hAnsi="微软雅黑" w:cs="微软雅黑" w:hint="eastAsia"/>
        </w:rPr>
        <w:lastRenderedPageBreak/>
        <w:t>7.科研工作</w:t>
      </w:r>
      <w:bookmarkEnd w:id="2037"/>
      <w:bookmarkEnd w:id="2038"/>
      <w:bookmarkEnd w:id="2039"/>
      <w:bookmarkEnd w:id="2040"/>
      <w:bookmarkEnd w:id="2041"/>
      <w:bookmarkEnd w:id="2042"/>
      <w:bookmarkEnd w:id="2043"/>
      <w:bookmarkEnd w:id="2044"/>
      <w:bookmarkEnd w:id="2045"/>
      <w:bookmarkEnd w:id="2046"/>
      <w:bookmarkEnd w:id="2047"/>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066" w:name="_Toc19470"/>
      <w:bookmarkStart w:id="2067" w:name="_Toc15387"/>
      <w:bookmarkStart w:id="2068" w:name="_Toc10755"/>
      <w:bookmarkStart w:id="2069" w:name="_Toc21764"/>
      <w:bookmarkStart w:id="2070" w:name="_Toc19910"/>
      <w:bookmarkStart w:id="2071" w:name="_Toc5521"/>
      <w:bookmarkStart w:id="2072" w:name="_Toc15788"/>
      <w:bookmarkStart w:id="2073" w:name="_Toc11028"/>
      <w:bookmarkStart w:id="2074" w:name="_Toc19334"/>
      <w:bookmarkStart w:id="2075" w:name="_Toc28405"/>
      <w:bookmarkStart w:id="2076" w:name="_Toc7624"/>
      <w:r>
        <w:rPr>
          <w:rFonts w:ascii="黑体" w:eastAsia="黑体" w:hAnsi="黑体" w:cs="黑体" w:hint="eastAsia"/>
          <w:color w:val="000000" w:themeColor="text1"/>
          <w:sz w:val="28"/>
          <w:szCs w:val="28"/>
        </w:rPr>
        <w:t>7.1科技类项目主要类别</w:t>
      </w:r>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6"/>
      <w:bookmarkEnd w:id="2067"/>
      <w:bookmarkEnd w:id="2068"/>
      <w:bookmarkEnd w:id="2069"/>
      <w:bookmarkEnd w:id="2070"/>
      <w:bookmarkEnd w:id="2071"/>
      <w:bookmarkEnd w:id="2072"/>
      <w:bookmarkEnd w:id="2073"/>
      <w:bookmarkEnd w:id="2074"/>
      <w:bookmarkEnd w:id="2075"/>
      <w:bookmarkEnd w:id="2076"/>
    </w:p>
    <w:tbl>
      <w:tblPr>
        <w:tblStyle w:val="af0"/>
        <w:tblW w:w="9748" w:type="dxa"/>
        <w:jc w:val="center"/>
        <w:tblLayout w:type="fixed"/>
        <w:tblLook w:val="04A0" w:firstRow="1" w:lastRow="0" w:firstColumn="1" w:lastColumn="0" w:noHBand="0" w:noVBand="1"/>
      </w:tblPr>
      <w:tblGrid>
        <w:gridCol w:w="662"/>
        <w:gridCol w:w="965"/>
        <w:gridCol w:w="828"/>
        <w:gridCol w:w="1087"/>
        <w:gridCol w:w="900"/>
        <w:gridCol w:w="900"/>
        <w:gridCol w:w="1482"/>
        <w:gridCol w:w="945"/>
        <w:gridCol w:w="1033"/>
        <w:gridCol w:w="946"/>
      </w:tblGrid>
      <w:tr w:rsidR="00E37845">
        <w:trPr>
          <w:trHeight w:val="719"/>
          <w:jc w:val="center"/>
        </w:trPr>
        <w:tc>
          <w:tcPr>
            <w:tcW w:w="662" w:type="dxa"/>
            <w:tcBorders>
              <w:tl2br w:val="single" w:sz="4" w:space="0" w:color="auto"/>
            </w:tcBorders>
            <w:vAlign w:val="center"/>
          </w:tcPr>
          <w:p w:rsidR="00E37845" w:rsidRDefault="00E22BDD">
            <w:pPr>
              <w:widowControl/>
              <w:adjustRightInd w:val="0"/>
              <w:snapToGrid w:val="0"/>
              <w:spacing w:before="100" w:beforeAutospacing="1" w:after="100" w:afterAutospacing="1"/>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项目</w:t>
            </w:r>
          </w:p>
          <w:p w:rsidR="00E37845" w:rsidRDefault="00E22BDD">
            <w:pPr>
              <w:widowControl/>
              <w:adjustRightInd w:val="0"/>
              <w:snapToGrid w:val="0"/>
              <w:spacing w:before="100" w:beforeAutospacing="1" w:after="100" w:afterAutospacing="1"/>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序号</w:t>
            </w:r>
          </w:p>
        </w:tc>
        <w:tc>
          <w:tcPr>
            <w:tcW w:w="965" w:type="dxa"/>
            <w:vAlign w:val="center"/>
          </w:tcPr>
          <w:p w:rsidR="00E37845" w:rsidRDefault="00E22BDD">
            <w:pPr>
              <w:widowControl/>
              <w:adjustRightInd w:val="0"/>
              <w:snapToGrid w:val="0"/>
              <w:spacing w:before="100" w:beforeAutospacing="1" w:after="100" w:afterAutospacing="1"/>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“十二五”科技计划体系</w:t>
            </w:r>
          </w:p>
        </w:tc>
        <w:tc>
          <w:tcPr>
            <w:tcW w:w="828" w:type="dxa"/>
            <w:vAlign w:val="center"/>
          </w:tcPr>
          <w:p w:rsidR="00E37845" w:rsidRDefault="00E22BDD">
            <w:pPr>
              <w:widowControl/>
              <w:adjustRightInd w:val="0"/>
              <w:snapToGrid w:val="0"/>
              <w:spacing w:before="100" w:beforeAutospacing="1" w:after="100" w:afterAutospacing="1"/>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“十三五”科技计划</w:t>
            </w:r>
          </w:p>
        </w:tc>
        <w:tc>
          <w:tcPr>
            <w:tcW w:w="1087" w:type="dxa"/>
            <w:vAlign w:val="center"/>
          </w:tcPr>
          <w:p w:rsidR="00E37845" w:rsidRDefault="00E22BDD">
            <w:pPr>
              <w:widowControl/>
              <w:adjustRightInd w:val="0"/>
              <w:snapToGrid w:val="0"/>
              <w:spacing w:before="100" w:beforeAutospacing="1" w:after="100" w:afterAutospacing="1"/>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国家自然科学基金</w:t>
            </w:r>
          </w:p>
        </w:tc>
        <w:tc>
          <w:tcPr>
            <w:tcW w:w="900" w:type="dxa"/>
            <w:vAlign w:val="center"/>
          </w:tcPr>
          <w:p w:rsidR="00E37845" w:rsidRDefault="00E22BDD">
            <w:pPr>
              <w:widowControl/>
              <w:adjustRightInd w:val="0"/>
              <w:snapToGrid w:val="0"/>
              <w:spacing w:before="100" w:beforeAutospacing="1" w:after="100" w:afterAutospacing="1"/>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教育部科技司项目</w:t>
            </w:r>
          </w:p>
        </w:tc>
        <w:tc>
          <w:tcPr>
            <w:tcW w:w="900" w:type="dxa"/>
            <w:vAlign w:val="center"/>
          </w:tcPr>
          <w:p w:rsidR="00E37845" w:rsidRDefault="00E22BDD">
            <w:pPr>
              <w:widowControl/>
              <w:adjustRightInd w:val="0"/>
              <w:snapToGrid w:val="0"/>
              <w:spacing w:before="100" w:beforeAutospacing="1" w:after="100" w:afterAutospacing="1"/>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其他部委项目</w:t>
            </w:r>
          </w:p>
        </w:tc>
        <w:tc>
          <w:tcPr>
            <w:tcW w:w="1482" w:type="dxa"/>
            <w:vAlign w:val="center"/>
          </w:tcPr>
          <w:p w:rsidR="00E37845" w:rsidRDefault="00E22BDD">
            <w:pPr>
              <w:widowControl/>
              <w:adjustRightInd w:val="0"/>
              <w:snapToGrid w:val="0"/>
              <w:spacing w:before="100" w:beforeAutospacing="1" w:after="100" w:afterAutospacing="1"/>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省科技厅项目</w:t>
            </w:r>
          </w:p>
        </w:tc>
        <w:tc>
          <w:tcPr>
            <w:tcW w:w="945" w:type="dxa"/>
            <w:vAlign w:val="center"/>
          </w:tcPr>
          <w:p w:rsidR="00E37845" w:rsidRDefault="00E22BDD">
            <w:pPr>
              <w:widowControl/>
              <w:adjustRightInd w:val="0"/>
              <w:snapToGrid w:val="0"/>
              <w:spacing w:before="100" w:beforeAutospacing="1" w:after="100" w:afterAutospacing="1"/>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省教育厅</w:t>
            </w:r>
          </w:p>
        </w:tc>
        <w:tc>
          <w:tcPr>
            <w:tcW w:w="1033" w:type="dxa"/>
            <w:vAlign w:val="center"/>
          </w:tcPr>
          <w:p w:rsidR="00E37845" w:rsidRDefault="00E22BDD">
            <w:pPr>
              <w:widowControl/>
              <w:adjustRightInd w:val="0"/>
              <w:snapToGrid w:val="0"/>
              <w:spacing w:before="100" w:beforeAutospacing="1" w:after="100" w:afterAutospacing="1"/>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市科技创新委员会项目</w:t>
            </w:r>
          </w:p>
        </w:tc>
        <w:tc>
          <w:tcPr>
            <w:tcW w:w="946" w:type="dxa"/>
            <w:vAlign w:val="center"/>
          </w:tcPr>
          <w:p w:rsidR="00E37845" w:rsidRDefault="00E22BDD">
            <w:pPr>
              <w:widowControl/>
              <w:adjustRightInd w:val="0"/>
              <w:snapToGrid w:val="0"/>
              <w:spacing w:before="100" w:beforeAutospacing="1" w:after="100" w:afterAutospacing="1"/>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市教育局项目</w:t>
            </w:r>
          </w:p>
        </w:tc>
      </w:tr>
      <w:tr w:rsidR="00E37845">
        <w:trPr>
          <w:trHeight w:val="691"/>
          <w:jc w:val="center"/>
        </w:trPr>
        <w:tc>
          <w:tcPr>
            <w:tcW w:w="66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联系方式</w:t>
            </w:r>
          </w:p>
        </w:tc>
        <w:tc>
          <w:tcPr>
            <w:tcW w:w="2880" w:type="dxa"/>
            <w:gridSpan w:val="3"/>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李海鹏</w:t>
            </w:r>
            <w:r>
              <w:rPr>
                <w:rFonts w:ascii="仿宋_GB2312" w:eastAsia="仿宋_GB2312" w:hAnsi="仿宋_GB2312" w:cs="仿宋_GB2312"/>
                <w:color w:val="000000" w:themeColor="text1"/>
                <w:sz w:val="18"/>
                <w:szCs w:val="18"/>
              </w:rPr>
              <w:t xml:space="preserve"> TEL：39366191</w:t>
            </w:r>
          </w:p>
        </w:tc>
        <w:tc>
          <w:tcPr>
            <w:tcW w:w="1800" w:type="dxa"/>
            <w:gridSpan w:val="2"/>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李星蕾</w:t>
            </w:r>
            <w:r>
              <w:rPr>
                <w:rFonts w:ascii="仿宋_GB2312" w:eastAsia="仿宋_GB2312" w:hAnsi="仿宋_GB2312" w:cs="仿宋_GB2312"/>
                <w:color w:val="000000" w:themeColor="text1"/>
                <w:sz w:val="18"/>
                <w:szCs w:val="18"/>
              </w:rPr>
              <w:t xml:space="preserve"> TEL：39366191</w:t>
            </w:r>
          </w:p>
        </w:tc>
        <w:tc>
          <w:tcPr>
            <w:tcW w:w="148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钟俊锋</w:t>
            </w:r>
            <w:r>
              <w:rPr>
                <w:rFonts w:ascii="仿宋_GB2312" w:eastAsia="仿宋_GB2312" w:hAnsi="仿宋_GB2312" w:cs="仿宋_GB2312"/>
                <w:color w:val="000000" w:themeColor="text1"/>
                <w:sz w:val="18"/>
                <w:szCs w:val="18"/>
              </w:rPr>
              <w:t xml:space="preserve"> TEL：39389590</w:t>
            </w:r>
          </w:p>
        </w:tc>
        <w:tc>
          <w:tcPr>
            <w:tcW w:w="945"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李星蕾</w:t>
            </w:r>
            <w:r>
              <w:rPr>
                <w:rFonts w:ascii="仿宋_GB2312" w:eastAsia="仿宋_GB2312" w:hAnsi="仿宋_GB2312" w:cs="仿宋_GB2312"/>
                <w:color w:val="000000" w:themeColor="text1"/>
                <w:sz w:val="18"/>
                <w:szCs w:val="18"/>
              </w:rPr>
              <w:t xml:space="preserve"> TEL：39366191</w:t>
            </w:r>
          </w:p>
        </w:tc>
        <w:tc>
          <w:tcPr>
            <w:tcW w:w="1979" w:type="dxa"/>
            <w:gridSpan w:val="2"/>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张峥嵘</w:t>
            </w:r>
            <w:r>
              <w:rPr>
                <w:rFonts w:ascii="仿宋_GB2312" w:eastAsia="仿宋_GB2312" w:hAnsi="仿宋_GB2312" w:cs="仿宋_GB2312"/>
                <w:color w:val="000000" w:themeColor="text1"/>
                <w:sz w:val="18"/>
                <w:szCs w:val="18"/>
              </w:rPr>
              <w:t xml:space="preserve"> TEL：39366191</w:t>
            </w:r>
          </w:p>
        </w:tc>
      </w:tr>
      <w:tr w:rsidR="00E37845">
        <w:trPr>
          <w:trHeight w:val="1373"/>
          <w:jc w:val="center"/>
        </w:trPr>
        <w:tc>
          <w:tcPr>
            <w:tcW w:w="66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fldChar w:fldCharType="begin"/>
            </w:r>
            <w:r>
              <w:rPr>
                <w:rFonts w:ascii="仿宋_GB2312" w:eastAsia="仿宋_GB2312" w:hAnsi="仿宋_GB2312" w:cs="仿宋_GB2312"/>
                <w:color w:val="000000" w:themeColor="text1"/>
                <w:sz w:val="18"/>
                <w:szCs w:val="18"/>
              </w:rPr>
              <w:instrText xml:space="preserve"> seq n/0# </w:instrText>
            </w:r>
            <w:r>
              <w:rPr>
                <w:rFonts w:ascii="仿宋_GB2312" w:eastAsia="仿宋_GB2312" w:hAnsi="仿宋_GB2312" w:cs="仿宋_GB2312" w:hint="eastAsia"/>
                <w:color w:val="000000" w:themeColor="text1"/>
                <w:sz w:val="18"/>
                <w:szCs w:val="18"/>
              </w:rPr>
              <w:fldChar w:fldCharType="separate"/>
            </w:r>
            <w:r>
              <w:rPr>
                <w:rFonts w:ascii="仿宋_GB2312" w:eastAsia="仿宋_GB2312" w:hAnsi="仿宋_GB2312" w:cs="仿宋_GB2312"/>
                <w:color w:val="000000" w:themeColor="text1"/>
                <w:sz w:val="18"/>
                <w:szCs w:val="18"/>
              </w:rPr>
              <w:t>1</w:t>
            </w:r>
            <w:r>
              <w:rPr>
                <w:rFonts w:ascii="仿宋_GB2312" w:eastAsia="仿宋_GB2312" w:hAnsi="仿宋_GB2312" w:cs="仿宋_GB2312" w:hint="eastAsia"/>
                <w:color w:val="000000" w:themeColor="text1"/>
                <w:sz w:val="18"/>
                <w:szCs w:val="18"/>
              </w:rPr>
              <w:fldChar w:fldCharType="end"/>
            </w:r>
          </w:p>
        </w:tc>
        <w:tc>
          <w:tcPr>
            <w:tcW w:w="965"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国家科技重大专项；</w:t>
            </w:r>
          </w:p>
        </w:tc>
        <w:tc>
          <w:tcPr>
            <w:tcW w:w="828"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国家科技重大专项</w:t>
            </w:r>
          </w:p>
        </w:tc>
        <w:tc>
          <w:tcPr>
            <w:tcW w:w="1087"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重大项目</w:t>
            </w:r>
          </w:p>
        </w:tc>
        <w:tc>
          <w:tcPr>
            <w:tcW w:w="900"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教育部创新团队</w:t>
            </w:r>
          </w:p>
        </w:tc>
        <w:tc>
          <w:tcPr>
            <w:tcW w:w="900"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其他部级政府部门发布的竞争性科研项目</w:t>
            </w:r>
          </w:p>
        </w:tc>
        <w:tc>
          <w:tcPr>
            <w:tcW w:w="148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省自然科学基金团队项目</w:t>
            </w:r>
          </w:p>
        </w:tc>
        <w:tc>
          <w:tcPr>
            <w:tcW w:w="945"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创新强校项目</w:t>
            </w:r>
          </w:p>
        </w:tc>
        <w:tc>
          <w:tcPr>
            <w:tcW w:w="1033"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市科技计划重大项目</w:t>
            </w:r>
          </w:p>
        </w:tc>
        <w:tc>
          <w:tcPr>
            <w:tcW w:w="946"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市高校科技类重点项目</w:t>
            </w:r>
          </w:p>
        </w:tc>
      </w:tr>
      <w:tr w:rsidR="00E37845">
        <w:trPr>
          <w:trHeight w:val="691"/>
          <w:jc w:val="center"/>
        </w:trPr>
        <w:tc>
          <w:tcPr>
            <w:tcW w:w="66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fldChar w:fldCharType="begin"/>
            </w:r>
            <w:r>
              <w:rPr>
                <w:rFonts w:ascii="仿宋_GB2312" w:eastAsia="仿宋_GB2312" w:hAnsi="仿宋_GB2312" w:cs="仿宋_GB2312"/>
                <w:color w:val="000000" w:themeColor="text1"/>
                <w:sz w:val="18"/>
                <w:szCs w:val="18"/>
              </w:rPr>
              <w:instrText xml:space="preserve"> seq n/0# </w:instrText>
            </w:r>
            <w:r>
              <w:rPr>
                <w:rFonts w:ascii="仿宋_GB2312" w:eastAsia="仿宋_GB2312" w:hAnsi="仿宋_GB2312" w:cs="仿宋_GB2312" w:hint="eastAsia"/>
                <w:color w:val="000000" w:themeColor="text1"/>
                <w:sz w:val="18"/>
                <w:szCs w:val="18"/>
              </w:rPr>
              <w:fldChar w:fldCharType="separate"/>
            </w:r>
            <w:r>
              <w:rPr>
                <w:rFonts w:ascii="仿宋_GB2312" w:eastAsia="仿宋_GB2312" w:hAnsi="仿宋_GB2312" w:cs="仿宋_GB2312"/>
                <w:color w:val="000000" w:themeColor="text1"/>
                <w:sz w:val="18"/>
                <w:szCs w:val="18"/>
              </w:rPr>
              <w:t>2</w:t>
            </w:r>
            <w:r>
              <w:rPr>
                <w:rFonts w:ascii="仿宋_GB2312" w:eastAsia="仿宋_GB2312" w:hAnsi="仿宋_GB2312" w:cs="仿宋_GB2312" w:hint="eastAsia"/>
                <w:color w:val="000000" w:themeColor="text1"/>
                <w:sz w:val="18"/>
                <w:szCs w:val="18"/>
              </w:rPr>
              <w:fldChar w:fldCharType="end"/>
            </w:r>
          </w:p>
        </w:tc>
        <w:tc>
          <w:tcPr>
            <w:tcW w:w="965"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color w:val="000000" w:themeColor="text1"/>
                <w:sz w:val="18"/>
                <w:szCs w:val="18"/>
              </w:rPr>
              <w:t>973计划</w:t>
            </w:r>
          </w:p>
        </w:tc>
        <w:tc>
          <w:tcPr>
            <w:tcW w:w="828"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国家重点研发计划</w:t>
            </w:r>
          </w:p>
        </w:tc>
        <w:tc>
          <w:tcPr>
            <w:tcW w:w="1087"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重点项目</w:t>
            </w:r>
          </w:p>
        </w:tc>
        <w:tc>
          <w:tcPr>
            <w:tcW w:w="900"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教育部重大项目</w:t>
            </w:r>
          </w:p>
        </w:tc>
        <w:tc>
          <w:tcPr>
            <w:tcW w:w="900"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48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省自然科学基金重点项目</w:t>
            </w:r>
          </w:p>
        </w:tc>
        <w:tc>
          <w:tcPr>
            <w:tcW w:w="945"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其他类项目</w:t>
            </w:r>
          </w:p>
        </w:tc>
        <w:tc>
          <w:tcPr>
            <w:tcW w:w="1033"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市科技计划重点项目</w:t>
            </w:r>
          </w:p>
        </w:tc>
        <w:tc>
          <w:tcPr>
            <w:tcW w:w="946"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市高校科技类重大项目</w:t>
            </w:r>
          </w:p>
        </w:tc>
      </w:tr>
      <w:tr w:rsidR="00E37845">
        <w:trPr>
          <w:trHeight w:val="919"/>
          <w:jc w:val="center"/>
        </w:trPr>
        <w:tc>
          <w:tcPr>
            <w:tcW w:w="66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fldChar w:fldCharType="begin"/>
            </w:r>
            <w:r>
              <w:rPr>
                <w:rFonts w:ascii="仿宋_GB2312" w:eastAsia="仿宋_GB2312" w:hAnsi="仿宋_GB2312" w:cs="仿宋_GB2312"/>
                <w:color w:val="000000" w:themeColor="text1"/>
                <w:sz w:val="18"/>
                <w:szCs w:val="18"/>
              </w:rPr>
              <w:instrText xml:space="preserve"> seq n/0# </w:instrText>
            </w:r>
            <w:r>
              <w:rPr>
                <w:rFonts w:ascii="仿宋_GB2312" w:eastAsia="仿宋_GB2312" w:hAnsi="仿宋_GB2312" w:cs="仿宋_GB2312" w:hint="eastAsia"/>
                <w:color w:val="000000" w:themeColor="text1"/>
                <w:sz w:val="18"/>
                <w:szCs w:val="18"/>
              </w:rPr>
              <w:fldChar w:fldCharType="separate"/>
            </w:r>
            <w:r>
              <w:rPr>
                <w:rFonts w:ascii="仿宋_GB2312" w:eastAsia="仿宋_GB2312" w:hAnsi="仿宋_GB2312" w:cs="仿宋_GB2312"/>
                <w:color w:val="000000" w:themeColor="text1"/>
                <w:sz w:val="18"/>
                <w:szCs w:val="18"/>
              </w:rPr>
              <w:t>3</w:t>
            </w:r>
            <w:r>
              <w:rPr>
                <w:rFonts w:ascii="仿宋_GB2312" w:eastAsia="仿宋_GB2312" w:hAnsi="仿宋_GB2312" w:cs="仿宋_GB2312" w:hint="eastAsia"/>
                <w:color w:val="000000" w:themeColor="text1"/>
                <w:sz w:val="18"/>
                <w:szCs w:val="18"/>
              </w:rPr>
              <w:fldChar w:fldCharType="end"/>
            </w:r>
          </w:p>
        </w:tc>
        <w:tc>
          <w:tcPr>
            <w:tcW w:w="965"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国家重大科学研究计划</w:t>
            </w:r>
          </w:p>
        </w:tc>
        <w:tc>
          <w:tcPr>
            <w:tcW w:w="828"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技术创新引导计划</w:t>
            </w:r>
          </w:p>
        </w:tc>
        <w:tc>
          <w:tcPr>
            <w:tcW w:w="1087"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杰出青年基金项目</w:t>
            </w:r>
          </w:p>
        </w:tc>
        <w:tc>
          <w:tcPr>
            <w:tcW w:w="900"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教育部其他类科技项目</w:t>
            </w:r>
          </w:p>
        </w:tc>
        <w:tc>
          <w:tcPr>
            <w:tcW w:w="900"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48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省自然科学基金面上项目</w:t>
            </w:r>
          </w:p>
        </w:tc>
        <w:tc>
          <w:tcPr>
            <w:tcW w:w="945"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033"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珠江科技新星项目</w:t>
            </w:r>
          </w:p>
        </w:tc>
        <w:tc>
          <w:tcPr>
            <w:tcW w:w="946"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市高校科技类面上项目</w:t>
            </w:r>
          </w:p>
        </w:tc>
      </w:tr>
      <w:tr w:rsidR="00E37845">
        <w:trPr>
          <w:trHeight w:val="691"/>
          <w:jc w:val="center"/>
        </w:trPr>
        <w:tc>
          <w:tcPr>
            <w:tcW w:w="66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fldChar w:fldCharType="begin"/>
            </w:r>
            <w:r>
              <w:rPr>
                <w:rFonts w:ascii="仿宋_GB2312" w:eastAsia="仿宋_GB2312" w:hAnsi="仿宋_GB2312" w:cs="仿宋_GB2312"/>
                <w:color w:val="000000" w:themeColor="text1"/>
                <w:sz w:val="18"/>
                <w:szCs w:val="18"/>
              </w:rPr>
              <w:instrText xml:space="preserve"> seq n/0# </w:instrText>
            </w:r>
            <w:r>
              <w:rPr>
                <w:rFonts w:ascii="仿宋_GB2312" w:eastAsia="仿宋_GB2312" w:hAnsi="仿宋_GB2312" w:cs="仿宋_GB2312" w:hint="eastAsia"/>
                <w:color w:val="000000" w:themeColor="text1"/>
                <w:sz w:val="18"/>
                <w:szCs w:val="18"/>
              </w:rPr>
              <w:fldChar w:fldCharType="separate"/>
            </w:r>
            <w:r>
              <w:rPr>
                <w:rFonts w:ascii="仿宋_GB2312" w:eastAsia="仿宋_GB2312" w:hAnsi="仿宋_GB2312" w:cs="仿宋_GB2312"/>
                <w:color w:val="000000" w:themeColor="text1"/>
                <w:sz w:val="18"/>
                <w:szCs w:val="18"/>
              </w:rPr>
              <w:t>4</w:t>
            </w:r>
            <w:r>
              <w:rPr>
                <w:rFonts w:ascii="仿宋_GB2312" w:eastAsia="仿宋_GB2312" w:hAnsi="仿宋_GB2312" w:cs="仿宋_GB2312" w:hint="eastAsia"/>
                <w:color w:val="000000" w:themeColor="text1"/>
                <w:sz w:val="18"/>
                <w:szCs w:val="18"/>
              </w:rPr>
              <w:fldChar w:fldCharType="end"/>
            </w:r>
          </w:p>
        </w:tc>
        <w:tc>
          <w:tcPr>
            <w:tcW w:w="965"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color w:val="000000" w:themeColor="text1"/>
                <w:sz w:val="18"/>
                <w:szCs w:val="18"/>
              </w:rPr>
              <w:t>863计划</w:t>
            </w:r>
          </w:p>
        </w:tc>
        <w:tc>
          <w:tcPr>
            <w:tcW w:w="828"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基础和人才项目</w:t>
            </w:r>
          </w:p>
        </w:tc>
        <w:tc>
          <w:tcPr>
            <w:tcW w:w="1087"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国家重大科研仪器研制项目</w:t>
            </w:r>
          </w:p>
        </w:tc>
        <w:tc>
          <w:tcPr>
            <w:tcW w:w="900"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教育部培育项目</w:t>
            </w:r>
          </w:p>
        </w:tc>
        <w:tc>
          <w:tcPr>
            <w:tcW w:w="900"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48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省自然科学基金青年项目</w:t>
            </w:r>
          </w:p>
        </w:tc>
        <w:tc>
          <w:tcPr>
            <w:tcW w:w="945"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033"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科普项目</w:t>
            </w:r>
          </w:p>
        </w:tc>
        <w:tc>
          <w:tcPr>
            <w:tcW w:w="946"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市高校科技类青年项目</w:t>
            </w:r>
          </w:p>
        </w:tc>
      </w:tr>
      <w:tr w:rsidR="00E37845">
        <w:trPr>
          <w:trHeight w:val="691"/>
          <w:jc w:val="center"/>
        </w:trPr>
        <w:tc>
          <w:tcPr>
            <w:tcW w:w="66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fldChar w:fldCharType="begin"/>
            </w:r>
            <w:r>
              <w:rPr>
                <w:rFonts w:ascii="仿宋_GB2312" w:eastAsia="仿宋_GB2312" w:hAnsi="仿宋_GB2312" w:cs="仿宋_GB2312"/>
                <w:color w:val="000000" w:themeColor="text1"/>
                <w:sz w:val="18"/>
                <w:szCs w:val="18"/>
              </w:rPr>
              <w:instrText xml:space="preserve"> seq n/0# </w:instrText>
            </w:r>
            <w:r>
              <w:rPr>
                <w:rFonts w:ascii="仿宋_GB2312" w:eastAsia="仿宋_GB2312" w:hAnsi="仿宋_GB2312" w:cs="仿宋_GB2312" w:hint="eastAsia"/>
                <w:color w:val="000000" w:themeColor="text1"/>
                <w:sz w:val="18"/>
                <w:szCs w:val="18"/>
              </w:rPr>
              <w:fldChar w:fldCharType="separate"/>
            </w:r>
            <w:r>
              <w:rPr>
                <w:rFonts w:ascii="仿宋_GB2312" w:eastAsia="仿宋_GB2312" w:hAnsi="仿宋_GB2312" w:cs="仿宋_GB2312"/>
                <w:color w:val="000000" w:themeColor="text1"/>
                <w:sz w:val="18"/>
                <w:szCs w:val="18"/>
              </w:rPr>
              <w:t>5</w:t>
            </w:r>
            <w:r>
              <w:rPr>
                <w:rFonts w:ascii="仿宋_GB2312" w:eastAsia="仿宋_GB2312" w:hAnsi="仿宋_GB2312" w:cs="仿宋_GB2312" w:hint="eastAsia"/>
                <w:color w:val="000000" w:themeColor="text1"/>
                <w:sz w:val="18"/>
                <w:szCs w:val="18"/>
              </w:rPr>
              <w:fldChar w:fldCharType="end"/>
            </w:r>
          </w:p>
        </w:tc>
        <w:tc>
          <w:tcPr>
            <w:tcW w:w="965"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国家科技支撑计划</w:t>
            </w:r>
          </w:p>
        </w:tc>
        <w:tc>
          <w:tcPr>
            <w:tcW w:w="828"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087"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优秀青年基金项目</w:t>
            </w:r>
          </w:p>
        </w:tc>
        <w:tc>
          <w:tcPr>
            <w:tcW w:w="900"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900"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48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省科技计划重大项目</w:t>
            </w:r>
          </w:p>
        </w:tc>
        <w:tc>
          <w:tcPr>
            <w:tcW w:w="945"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033"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市科技计划一般项目</w:t>
            </w:r>
          </w:p>
        </w:tc>
        <w:tc>
          <w:tcPr>
            <w:tcW w:w="946"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羊城学者项目</w:t>
            </w:r>
          </w:p>
        </w:tc>
      </w:tr>
      <w:tr w:rsidR="00E37845">
        <w:trPr>
          <w:trHeight w:val="691"/>
          <w:jc w:val="center"/>
        </w:trPr>
        <w:tc>
          <w:tcPr>
            <w:tcW w:w="66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fldChar w:fldCharType="begin"/>
            </w:r>
            <w:r>
              <w:rPr>
                <w:rFonts w:ascii="仿宋_GB2312" w:eastAsia="仿宋_GB2312" w:hAnsi="仿宋_GB2312" w:cs="仿宋_GB2312"/>
                <w:color w:val="000000" w:themeColor="text1"/>
                <w:sz w:val="18"/>
                <w:szCs w:val="18"/>
              </w:rPr>
              <w:instrText xml:space="preserve"> seq n/0# </w:instrText>
            </w:r>
            <w:r>
              <w:rPr>
                <w:rFonts w:ascii="仿宋_GB2312" w:eastAsia="仿宋_GB2312" w:hAnsi="仿宋_GB2312" w:cs="仿宋_GB2312" w:hint="eastAsia"/>
                <w:color w:val="000000" w:themeColor="text1"/>
                <w:sz w:val="18"/>
                <w:szCs w:val="18"/>
              </w:rPr>
              <w:fldChar w:fldCharType="separate"/>
            </w:r>
            <w:r>
              <w:rPr>
                <w:rFonts w:ascii="仿宋_GB2312" w:eastAsia="仿宋_GB2312" w:hAnsi="仿宋_GB2312" w:cs="仿宋_GB2312"/>
                <w:color w:val="000000" w:themeColor="text1"/>
                <w:sz w:val="18"/>
                <w:szCs w:val="18"/>
              </w:rPr>
              <w:t>6</w:t>
            </w:r>
            <w:r>
              <w:rPr>
                <w:rFonts w:ascii="仿宋_GB2312" w:eastAsia="仿宋_GB2312" w:hAnsi="仿宋_GB2312" w:cs="仿宋_GB2312" w:hint="eastAsia"/>
                <w:color w:val="000000" w:themeColor="text1"/>
                <w:sz w:val="18"/>
                <w:szCs w:val="18"/>
              </w:rPr>
              <w:fldChar w:fldCharType="end"/>
            </w:r>
          </w:p>
        </w:tc>
        <w:tc>
          <w:tcPr>
            <w:tcW w:w="965"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政策类科技计划及专项</w:t>
            </w:r>
          </w:p>
        </w:tc>
        <w:tc>
          <w:tcPr>
            <w:tcW w:w="828"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087"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重大研究计划</w:t>
            </w:r>
          </w:p>
        </w:tc>
        <w:tc>
          <w:tcPr>
            <w:tcW w:w="900"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900"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48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省科技计划重点专项</w:t>
            </w:r>
          </w:p>
        </w:tc>
        <w:tc>
          <w:tcPr>
            <w:tcW w:w="945"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033"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946"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市教育局其他类项目</w:t>
            </w:r>
          </w:p>
        </w:tc>
      </w:tr>
      <w:tr w:rsidR="00E37845">
        <w:trPr>
          <w:trHeight w:val="464"/>
          <w:jc w:val="center"/>
        </w:trPr>
        <w:tc>
          <w:tcPr>
            <w:tcW w:w="66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fldChar w:fldCharType="begin"/>
            </w:r>
            <w:r>
              <w:rPr>
                <w:rFonts w:ascii="仿宋_GB2312" w:eastAsia="仿宋_GB2312" w:hAnsi="仿宋_GB2312" w:cs="仿宋_GB2312"/>
                <w:color w:val="000000" w:themeColor="text1"/>
                <w:sz w:val="18"/>
                <w:szCs w:val="18"/>
              </w:rPr>
              <w:instrText xml:space="preserve"> seq n/0# </w:instrText>
            </w:r>
            <w:r>
              <w:rPr>
                <w:rFonts w:ascii="仿宋_GB2312" w:eastAsia="仿宋_GB2312" w:hAnsi="仿宋_GB2312" w:cs="仿宋_GB2312" w:hint="eastAsia"/>
                <w:color w:val="000000" w:themeColor="text1"/>
                <w:sz w:val="18"/>
                <w:szCs w:val="18"/>
              </w:rPr>
              <w:fldChar w:fldCharType="separate"/>
            </w:r>
            <w:r>
              <w:rPr>
                <w:rFonts w:ascii="仿宋_GB2312" w:eastAsia="仿宋_GB2312" w:hAnsi="仿宋_GB2312" w:cs="仿宋_GB2312"/>
                <w:color w:val="000000" w:themeColor="text1"/>
                <w:sz w:val="18"/>
                <w:szCs w:val="18"/>
              </w:rPr>
              <w:t>7</w:t>
            </w:r>
            <w:r>
              <w:rPr>
                <w:rFonts w:ascii="仿宋_GB2312" w:eastAsia="仿宋_GB2312" w:hAnsi="仿宋_GB2312" w:cs="仿宋_GB2312" w:hint="eastAsia"/>
                <w:color w:val="000000" w:themeColor="text1"/>
                <w:sz w:val="18"/>
                <w:szCs w:val="18"/>
              </w:rPr>
              <w:fldChar w:fldCharType="end"/>
            </w:r>
          </w:p>
        </w:tc>
        <w:tc>
          <w:tcPr>
            <w:tcW w:w="965"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国际科技合作</w:t>
            </w:r>
          </w:p>
        </w:tc>
        <w:tc>
          <w:tcPr>
            <w:tcW w:w="828"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087"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创新研究群体项目</w:t>
            </w:r>
          </w:p>
        </w:tc>
        <w:tc>
          <w:tcPr>
            <w:tcW w:w="900"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900"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48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省科技计划项目</w:t>
            </w:r>
          </w:p>
        </w:tc>
        <w:tc>
          <w:tcPr>
            <w:tcW w:w="945"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033"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946"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r>
      <w:tr w:rsidR="00E37845">
        <w:trPr>
          <w:trHeight w:val="691"/>
          <w:jc w:val="center"/>
        </w:trPr>
        <w:tc>
          <w:tcPr>
            <w:tcW w:w="66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fldChar w:fldCharType="begin"/>
            </w:r>
            <w:r>
              <w:rPr>
                <w:rFonts w:ascii="仿宋_GB2312" w:eastAsia="仿宋_GB2312" w:hAnsi="仿宋_GB2312" w:cs="仿宋_GB2312"/>
                <w:color w:val="000000" w:themeColor="text1"/>
                <w:sz w:val="18"/>
                <w:szCs w:val="18"/>
              </w:rPr>
              <w:instrText xml:space="preserve"> seq n/0# </w:instrText>
            </w:r>
            <w:r>
              <w:rPr>
                <w:rFonts w:ascii="仿宋_GB2312" w:eastAsia="仿宋_GB2312" w:hAnsi="仿宋_GB2312" w:cs="仿宋_GB2312" w:hint="eastAsia"/>
                <w:color w:val="000000" w:themeColor="text1"/>
                <w:sz w:val="18"/>
                <w:szCs w:val="18"/>
              </w:rPr>
              <w:fldChar w:fldCharType="separate"/>
            </w:r>
            <w:r>
              <w:rPr>
                <w:rFonts w:ascii="仿宋_GB2312" w:eastAsia="仿宋_GB2312" w:hAnsi="仿宋_GB2312" w:cs="仿宋_GB2312"/>
                <w:color w:val="000000" w:themeColor="text1"/>
                <w:sz w:val="18"/>
                <w:szCs w:val="18"/>
              </w:rPr>
              <w:t>8</w:t>
            </w:r>
            <w:r>
              <w:rPr>
                <w:rFonts w:ascii="仿宋_GB2312" w:eastAsia="仿宋_GB2312" w:hAnsi="仿宋_GB2312" w:cs="仿宋_GB2312" w:hint="eastAsia"/>
                <w:color w:val="000000" w:themeColor="text1"/>
                <w:sz w:val="18"/>
                <w:szCs w:val="18"/>
              </w:rPr>
              <w:fldChar w:fldCharType="end"/>
            </w:r>
          </w:p>
        </w:tc>
        <w:tc>
          <w:tcPr>
            <w:tcW w:w="965"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创新人才推进计划</w:t>
            </w:r>
          </w:p>
        </w:tc>
        <w:tc>
          <w:tcPr>
            <w:tcW w:w="828"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087"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面上项目</w:t>
            </w:r>
          </w:p>
        </w:tc>
        <w:tc>
          <w:tcPr>
            <w:tcW w:w="900"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900"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48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特支计划科技创新领军人才</w:t>
            </w:r>
          </w:p>
        </w:tc>
        <w:tc>
          <w:tcPr>
            <w:tcW w:w="945"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033"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946"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r>
      <w:tr w:rsidR="00E37845">
        <w:trPr>
          <w:trHeight w:val="576"/>
          <w:jc w:val="center"/>
        </w:trPr>
        <w:tc>
          <w:tcPr>
            <w:tcW w:w="66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fldChar w:fldCharType="begin"/>
            </w:r>
            <w:r>
              <w:rPr>
                <w:rFonts w:ascii="仿宋_GB2312" w:eastAsia="仿宋_GB2312" w:hAnsi="仿宋_GB2312" w:cs="仿宋_GB2312"/>
                <w:color w:val="000000" w:themeColor="text1"/>
                <w:sz w:val="18"/>
                <w:szCs w:val="18"/>
              </w:rPr>
              <w:instrText xml:space="preserve"> seq n/0# </w:instrText>
            </w:r>
            <w:r>
              <w:rPr>
                <w:rFonts w:ascii="仿宋_GB2312" w:eastAsia="仿宋_GB2312" w:hAnsi="仿宋_GB2312" w:cs="仿宋_GB2312" w:hint="eastAsia"/>
                <w:color w:val="000000" w:themeColor="text1"/>
                <w:sz w:val="18"/>
                <w:szCs w:val="18"/>
              </w:rPr>
              <w:fldChar w:fldCharType="separate"/>
            </w:r>
            <w:r>
              <w:rPr>
                <w:rFonts w:ascii="仿宋_GB2312" w:eastAsia="仿宋_GB2312" w:hAnsi="仿宋_GB2312" w:cs="仿宋_GB2312"/>
                <w:color w:val="000000" w:themeColor="text1"/>
                <w:sz w:val="18"/>
                <w:szCs w:val="18"/>
              </w:rPr>
              <w:t>9</w:t>
            </w:r>
            <w:r>
              <w:rPr>
                <w:rFonts w:ascii="仿宋_GB2312" w:eastAsia="仿宋_GB2312" w:hAnsi="仿宋_GB2312" w:cs="仿宋_GB2312" w:hint="eastAsia"/>
                <w:color w:val="000000" w:themeColor="text1"/>
                <w:sz w:val="18"/>
                <w:szCs w:val="18"/>
              </w:rPr>
              <w:fldChar w:fldCharType="end"/>
            </w:r>
          </w:p>
        </w:tc>
        <w:tc>
          <w:tcPr>
            <w:tcW w:w="965"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其他</w:t>
            </w:r>
          </w:p>
        </w:tc>
        <w:tc>
          <w:tcPr>
            <w:tcW w:w="828"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087"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青年科学基金项目</w:t>
            </w:r>
          </w:p>
        </w:tc>
        <w:tc>
          <w:tcPr>
            <w:tcW w:w="900"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900"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48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特支计划科技创业领军人才</w:t>
            </w:r>
          </w:p>
        </w:tc>
        <w:tc>
          <w:tcPr>
            <w:tcW w:w="945"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033"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946"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r>
      <w:tr w:rsidR="00E37845">
        <w:trPr>
          <w:trHeight w:val="714"/>
          <w:jc w:val="center"/>
        </w:trPr>
        <w:tc>
          <w:tcPr>
            <w:tcW w:w="66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fldChar w:fldCharType="begin"/>
            </w:r>
            <w:r>
              <w:rPr>
                <w:rFonts w:ascii="仿宋_GB2312" w:eastAsia="仿宋_GB2312" w:hAnsi="仿宋_GB2312" w:cs="仿宋_GB2312"/>
                <w:color w:val="000000" w:themeColor="text1"/>
                <w:sz w:val="18"/>
                <w:szCs w:val="18"/>
              </w:rPr>
              <w:instrText xml:space="preserve"> seq n/0# </w:instrText>
            </w:r>
            <w:r>
              <w:rPr>
                <w:rFonts w:ascii="仿宋_GB2312" w:eastAsia="仿宋_GB2312" w:hAnsi="仿宋_GB2312" w:cs="仿宋_GB2312" w:hint="eastAsia"/>
                <w:color w:val="000000" w:themeColor="text1"/>
                <w:sz w:val="18"/>
                <w:szCs w:val="18"/>
              </w:rPr>
              <w:fldChar w:fldCharType="separate"/>
            </w:r>
            <w:r>
              <w:rPr>
                <w:rFonts w:ascii="仿宋_GB2312" w:eastAsia="仿宋_GB2312" w:hAnsi="仿宋_GB2312" w:cs="仿宋_GB2312"/>
                <w:color w:val="000000" w:themeColor="text1"/>
                <w:sz w:val="18"/>
                <w:szCs w:val="18"/>
              </w:rPr>
              <w:t>10</w:t>
            </w:r>
            <w:r>
              <w:rPr>
                <w:rFonts w:ascii="仿宋_GB2312" w:eastAsia="仿宋_GB2312" w:hAnsi="仿宋_GB2312" w:cs="仿宋_GB2312" w:hint="eastAsia"/>
                <w:color w:val="000000" w:themeColor="text1"/>
                <w:sz w:val="18"/>
                <w:szCs w:val="18"/>
              </w:rPr>
              <w:fldChar w:fldCharType="end"/>
            </w:r>
          </w:p>
        </w:tc>
        <w:tc>
          <w:tcPr>
            <w:tcW w:w="965"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828"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087"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联合基金项目</w:t>
            </w:r>
          </w:p>
        </w:tc>
        <w:tc>
          <w:tcPr>
            <w:tcW w:w="900"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900"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48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特支计划科技创新青年拔尖人才</w:t>
            </w:r>
          </w:p>
        </w:tc>
        <w:tc>
          <w:tcPr>
            <w:tcW w:w="945"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033"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946"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r>
      <w:tr w:rsidR="00E37845">
        <w:trPr>
          <w:trHeight w:val="576"/>
          <w:jc w:val="center"/>
        </w:trPr>
        <w:tc>
          <w:tcPr>
            <w:tcW w:w="66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fldChar w:fldCharType="begin"/>
            </w:r>
            <w:r>
              <w:rPr>
                <w:rFonts w:ascii="仿宋_GB2312" w:eastAsia="仿宋_GB2312" w:hAnsi="仿宋_GB2312" w:cs="仿宋_GB2312"/>
                <w:color w:val="000000" w:themeColor="text1"/>
                <w:sz w:val="18"/>
                <w:szCs w:val="18"/>
              </w:rPr>
              <w:instrText xml:space="preserve"> seq n/0# </w:instrText>
            </w:r>
            <w:r>
              <w:rPr>
                <w:rFonts w:ascii="仿宋_GB2312" w:eastAsia="仿宋_GB2312" w:hAnsi="仿宋_GB2312" w:cs="仿宋_GB2312" w:hint="eastAsia"/>
                <w:color w:val="000000" w:themeColor="text1"/>
                <w:sz w:val="18"/>
                <w:szCs w:val="18"/>
              </w:rPr>
              <w:fldChar w:fldCharType="separate"/>
            </w:r>
            <w:r>
              <w:rPr>
                <w:rFonts w:ascii="仿宋_GB2312" w:eastAsia="仿宋_GB2312" w:hAnsi="仿宋_GB2312" w:cs="仿宋_GB2312"/>
                <w:color w:val="000000" w:themeColor="text1"/>
                <w:sz w:val="18"/>
                <w:szCs w:val="18"/>
              </w:rPr>
              <w:t>11</w:t>
            </w:r>
            <w:r>
              <w:rPr>
                <w:rFonts w:ascii="仿宋_GB2312" w:eastAsia="仿宋_GB2312" w:hAnsi="仿宋_GB2312" w:cs="仿宋_GB2312" w:hint="eastAsia"/>
                <w:color w:val="000000" w:themeColor="text1"/>
                <w:sz w:val="18"/>
                <w:szCs w:val="18"/>
              </w:rPr>
              <w:fldChar w:fldCharType="end"/>
            </w:r>
          </w:p>
        </w:tc>
        <w:tc>
          <w:tcPr>
            <w:tcW w:w="965"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828"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087"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数学天元基金项目</w:t>
            </w:r>
          </w:p>
        </w:tc>
        <w:tc>
          <w:tcPr>
            <w:tcW w:w="900"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900"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48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省科技厅其他科技项目</w:t>
            </w:r>
          </w:p>
        </w:tc>
        <w:tc>
          <w:tcPr>
            <w:tcW w:w="945"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033"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946"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r>
      <w:tr w:rsidR="00E37845">
        <w:trPr>
          <w:trHeight w:val="464"/>
          <w:jc w:val="center"/>
        </w:trPr>
        <w:tc>
          <w:tcPr>
            <w:tcW w:w="66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fldChar w:fldCharType="begin"/>
            </w:r>
            <w:r>
              <w:rPr>
                <w:rFonts w:ascii="仿宋_GB2312" w:eastAsia="仿宋_GB2312" w:hAnsi="仿宋_GB2312" w:cs="仿宋_GB2312"/>
                <w:color w:val="000000" w:themeColor="text1"/>
                <w:sz w:val="18"/>
                <w:szCs w:val="18"/>
              </w:rPr>
              <w:instrText xml:space="preserve"> seq n/0# </w:instrText>
            </w:r>
            <w:r>
              <w:rPr>
                <w:rFonts w:ascii="仿宋_GB2312" w:eastAsia="仿宋_GB2312" w:hAnsi="仿宋_GB2312" w:cs="仿宋_GB2312" w:hint="eastAsia"/>
                <w:color w:val="000000" w:themeColor="text1"/>
                <w:sz w:val="18"/>
                <w:szCs w:val="18"/>
              </w:rPr>
              <w:fldChar w:fldCharType="separate"/>
            </w:r>
            <w:r>
              <w:rPr>
                <w:rFonts w:ascii="仿宋_GB2312" w:eastAsia="仿宋_GB2312" w:hAnsi="仿宋_GB2312" w:cs="仿宋_GB2312"/>
                <w:color w:val="000000" w:themeColor="text1"/>
                <w:sz w:val="18"/>
                <w:szCs w:val="18"/>
              </w:rPr>
              <w:t>12</w:t>
            </w:r>
            <w:r>
              <w:rPr>
                <w:rFonts w:ascii="仿宋_GB2312" w:eastAsia="仿宋_GB2312" w:hAnsi="仿宋_GB2312" w:cs="仿宋_GB2312" w:hint="eastAsia"/>
                <w:color w:val="000000" w:themeColor="text1"/>
                <w:sz w:val="18"/>
                <w:szCs w:val="18"/>
              </w:rPr>
              <w:fldChar w:fldCharType="end"/>
            </w:r>
          </w:p>
        </w:tc>
        <w:tc>
          <w:tcPr>
            <w:tcW w:w="965"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828"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087"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地区科学基金项目</w:t>
            </w:r>
          </w:p>
        </w:tc>
        <w:tc>
          <w:tcPr>
            <w:tcW w:w="900"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900"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482"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945"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033"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946"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r>
      <w:tr w:rsidR="00E37845">
        <w:trPr>
          <w:trHeight w:val="919"/>
          <w:jc w:val="center"/>
        </w:trPr>
        <w:tc>
          <w:tcPr>
            <w:tcW w:w="662"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fldChar w:fldCharType="begin"/>
            </w:r>
            <w:r>
              <w:rPr>
                <w:rFonts w:ascii="仿宋_GB2312" w:eastAsia="仿宋_GB2312" w:hAnsi="仿宋_GB2312" w:cs="仿宋_GB2312"/>
                <w:color w:val="000000" w:themeColor="text1"/>
                <w:sz w:val="18"/>
                <w:szCs w:val="18"/>
              </w:rPr>
              <w:instrText xml:space="preserve"> seq n/0# </w:instrText>
            </w:r>
            <w:r>
              <w:rPr>
                <w:rFonts w:ascii="仿宋_GB2312" w:eastAsia="仿宋_GB2312" w:hAnsi="仿宋_GB2312" w:cs="仿宋_GB2312" w:hint="eastAsia"/>
                <w:color w:val="000000" w:themeColor="text1"/>
                <w:sz w:val="18"/>
                <w:szCs w:val="18"/>
              </w:rPr>
              <w:fldChar w:fldCharType="separate"/>
            </w:r>
            <w:r>
              <w:rPr>
                <w:rFonts w:ascii="仿宋_GB2312" w:eastAsia="仿宋_GB2312" w:hAnsi="仿宋_GB2312" w:cs="仿宋_GB2312"/>
                <w:color w:val="000000" w:themeColor="text1"/>
                <w:sz w:val="18"/>
                <w:szCs w:val="18"/>
              </w:rPr>
              <w:t>13</w:t>
            </w:r>
            <w:r>
              <w:rPr>
                <w:rFonts w:ascii="仿宋_GB2312" w:eastAsia="仿宋_GB2312" w:hAnsi="仿宋_GB2312" w:cs="仿宋_GB2312" w:hint="eastAsia"/>
                <w:color w:val="000000" w:themeColor="text1"/>
                <w:sz w:val="18"/>
                <w:szCs w:val="18"/>
              </w:rPr>
              <w:fldChar w:fldCharType="end"/>
            </w:r>
          </w:p>
        </w:tc>
        <w:tc>
          <w:tcPr>
            <w:tcW w:w="965"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828"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087" w:type="dxa"/>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国际（地区）合作与交流项目</w:t>
            </w:r>
          </w:p>
        </w:tc>
        <w:tc>
          <w:tcPr>
            <w:tcW w:w="900"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900"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482"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945"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1033"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946"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r>
      <w:tr w:rsidR="00E37845">
        <w:trPr>
          <w:trHeight w:val="1156"/>
          <w:jc w:val="center"/>
        </w:trPr>
        <w:tc>
          <w:tcPr>
            <w:tcW w:w="1627" w:type="dxa"/>
            <w:gridSpan w:val="2"/>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其他项目（经办人</w:t>
            </w:r>
            <w:r>
              <w:rPr>
                <w:rFonts w:ascii="仿宋_GB2312" w:eastAsia="仿宋_GB2312" w:hAnsi="仿宋_GB2312" w:cs="仿宋_GB2312"/>
                <w:color w:val="000000" w:themeColor="text1"/>
                <w:sz w:val="18"/>
                <w:szCs w:val="18"/>
              </w:rPr>
              <w:t>+电话）</w:t>
            </w:r>
          </w:p>
        </w:tc>
        <w:tc>
          <w:tcPr>
            <w:tcW w:w="1915" w:type="dxa"/>
            <w:gridSpan w:val="2"/>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其他市厅级政府科研主管部门发布的公开竞争的科研项目（李星蕾</w:t>
            </w:r>
            <w:r>
              <w:rPr>
                <w:rFonts w:ascii="仿宋_GB2312" w:eastAsia="仿宋_GB2312" w:hAnsi="仿宋_GB2312" w:cs="仿宋_GB2312"/>
                <w:color w:val="000000" w:themeColor="text1"/>
                <w:sz w:val="18"/>
                <w:szCs w:val="18"/>
              </w:rPr>
              <w:t>TEL：39366191）</w:t>
            </w:r>
          </w:p>
        </w:tc>
        <w:tc>
          <w:tcPr>
            <w:tcW w:w="1800" w:type="dxa"/>
            <w:gridSpan w:val="2"/>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其他局级政府科研主管部门发布的公开竞争的科研项目（张峥嵘</w:t>
            </w:r>
            <w:r>
              <w:rPr>
                <w:rFonts w:ascii="仿宋_GB2312" w:eastAsia="仿宋_GB2312" w:hAnsi="仿宋_GB2312" w:cs="仿宋_GB2312"/>
                <w:color w:val="000000" w:themeColor="text1"/>
                <w:sz w:val="18"/>
                <w:szCs w:val="18"/>
              </w:rPr>
              <w:t xml:space="preserve"> TEL：39366191）</w:t>
            </w:r>
          </w:p>
        </w:tc>
        <w:tc>
          <w:tcPr>
            <w:tcW w:w="2427" w:type="dxa"/>
            <w:gridSpan w:val="2"/>
            <w:vAlign w:val="center"/>
          </w:tcPr>
          <w:p w:rsidR="00E37845" w:rsidRDefault="00E22BDD">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开放实验室、各级学会等非政府部门发布的公开竞争的科技项目（张峥嵘</w:t>
            </w:r>
            <w:r>
              <w:rPr>
                <w:rFonts w:ascii="仿宋_GB2312" w:eastAsia="仿宋_GB2312" w:hAnsi="仿宋_GB2312" w:cs="仿宋_GB2312"/>
                <w:color w:val="000000" w:themeColor="text1"/>
                <w:sz w:val="18"/>
                <w:szCs w:val="18"/>
              </w:rPr>
              <w:t xml:space="preserve"> TEL：39366191）</w:t>
            </w:r>
          </w:p>
        </w:tc>
        <w:tc>
          <w:tcPr>
            <w:tcW w:w="1033"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c>
          <w:tcPr>
            <w:tcW w:w="946" w:type="dxa"/>
            <w:vAlign w:val="center"/>
          </w:tcPr>
          <w:p w:rsidR="00E37845" w:rsidRDefault="00E37845">
            <w:pPr>
              <w:widowControl/>
              <w:adjustRightInd w:val="0"/>
              <w:snapToGrid w:val="0"/>
              <w:spacing w:before="100" w:beforeAutospacing="1" w:after="100" w:afterAutospacing="1"/>
              <w:jc w:val="center"/>
              <w:rPr>
                <w:rFonts w:ascii="仿宋_GB2312" w:eastAsia="仿宋_GB2312" w:hAnsi="仿宋_GB2312" w:cs="仿宋_GB2312"/>
                <w:color w:val="000000" w:themeColor="text1"/>
                <w:sz w:val="18"/>
                <w:szCs w:val="18"/>
              </w:rPr>
            </w:pPr>
          </w:p>
        </w:tc>
      </w:tr>
    </w:tbl>
    <w:p w:rsidR="00E37845" w:rsidRDefault="00E37845">
      <w:pPr>
        <w:widowControl/>
        <w:spacing w:beforeAutospacing="1" w:afterAutospacing="1"/>
        <w:jc w:val="left"/>
        <w:rPr>
          <w:rFonts w:ascii="宋体" w:hAnsi="宋体"/>
          <w:color w:val="000000" w:themeColor="text1"/>
          <w:sz w:val="28"/>
          <w:szCs w:val="28"/>
        </w:rPr>
        <w:sectPr w:rsidR="00E37845">
          <w:pgSz w:w="11906" w:h="16838"/>
          <w:pgMar w:top="1440" w:right="1417" w:bottom="1440" w:left="1474" w:header="720" w:footer="720" w:gutter="0"/>
          <w:cols w:space="0"/>
          <w:docGrid w:type="lines" w:linePitch="312"/>
        </w:sectPr>
      </w:pP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077" w:name="_Toc24672"/>
      <w:bookmarkStart w:id="2078" w:name="_Toc20584"/>
      <w:bookmarkStart w:id="2079" w:name="_Toc24184"/>
      <w:bookmarkStart w:id="2080" w:name="_Toc6824"/>
      <w:bookmarkStart w:id="2081" w:name="_Toc926"/>
      <w:bookmarkStart w:id="2082" w:name="_Toc26680"/>
      <w:bookmarkStart w:id="2083" w:name="_Toc25936"/>
      <w:bookmarkStart w:id="2084" w:name="_Toc29412"/>
      <w:bookmarkStart w:id="2085" w:name="_Toc20599"/>
      <w:bookmarkStart w:id="2086" w:name="_Toc21235"/>
      <w:bookmarkStart w:id="2087" w:name="_Toc13068"/>
      <w:bookmarkStart w:id="2088" w:name="_Toc31885"/>
      <w:bookmarkStart w:id="2089" w:name="_Toc10348"/>
      <w:bookmarkStart w:id="2090" w:name="_Toc5982"/>
      <w:bookmarkStart w:id="2091" w:name="_Toc5898"/>
      <w:bookmarkStart w:id="2092" w:name="_Toc14808"/>
      <w:bookmarkStart w:id="2093" w:name="_Toc20327"/>
      <w:bookmarkStart w:id="2094" w:name="_Toc9380"/>
      <w:bookmarkStart w:id="2095" w:name="_Toc519781000"/>
      <w:bookmarkStart w:id="2096" w:name="_Toc30623"/>
      <w:bookmarkStart w:id="2097" w:name="_Toc4803"/>
      <w:bookmarkStart w:id="2098" w:name="_Toc28927"/>
      <w:bookmarkStart w:id="2099" w:name="_Toc19989"/>
      <w:bookmarkStart w:id="2100" w:name="_Toc990"/>
      <w:bookmarkStart w:id="2101" w:name="_Toc2659"/>
      <w:r>
        <w:rPr>
          <w:rFonts w:ascii="黑体" w:eastAsia="黑体" w:hAnsi="黑体" w:cs="黑体" w:hint="eastAsia"/>
          <w:color w:val="000000" w:themeColor="text1"/>
          <w:sz w:val="28"/>
          <w:szCs w:val="28"/>
        </w:rPr>
        <w:lastRenderedPageBreak/>
        <w:t>7.2社科类项目主要类别(表1)</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p>
    <w:tbl>
      <w:tblPr>
        <w:tblStyle w:val="af0"/>
        <w:tblW w:w="9926" w:type="dxa"/>
        <w:jc w:val="center"/>
        <w:tblLayout w:type="fixed"/>
        <w:tblLook w:val="04A0" w:firstRow="1" w:lastRow="0" w:firstColumn="1" w:lastColumn="0" w:noHBand="0" w:noVBand="1"/>
      </w:tblPr>
      <w:tblGrid>
        <w:gridCol w:w="648"/>
        <w:gridCol w:w="966"/>
        <w:gridCol w:w="1140"/>
        <w:gridCol w:w="1245"/>
        <w:gridCol w:w="1110"/>
        <w:gridCol w:w="727"/>
        <w:gridCol w:w="1162"/>
        <w:gridCol w:w="1013"/>
        <w:gridCol w:w="955"/>
        <w:gridCol w:w="960"/>
      </w:tblGrid>
      <w:tr w:rsidR="00E37845">
        <w:trPr>
          <w:trHeight w:val="526"/>
          <w:jc w:val="center"/>
        </w:trPr>
        <w:tc>
          <w:tcPr>
            <w:tcW w:w="648" w:type="dxa"/>
            <w:vMerge w:val="restart"/>
            <w:tcBorders>
              <w:tl2br w:val="single" w:sz="4" w:space="0" w:color="auto"/>
            </w:tcBorders>
            <w:vAlign w:val="center"/>
          </w:tcPr>
          <w:p w:rsidR="00E37845" w:rsidRDefault="00E22BDD">
            <w:pPr>
              <w:widowControl/>
              <w:spacing w:before="100" w:beforeAutospacing="1" w:after="100" w:afterAutospacing="1" w:line="220" w:lineRule="exact"/>
              <w:jc w:val="center"/>
              <w:rPr>
                <w:rFonts w:ascii="黑体" w:eastAsia="黑体" w:hAnsi="黑体" w:cs="黑体"/>
                <w:color w:val="000000" w:themeColor="text1"/>
                <w:spacing w:val="-6"/>
                <w:sz w:val="18"/>
                <w:szCs w:val="18"/>
              </w:rPr>
            </w:pPr>
            <w:r>
              <w:rPr>
                <w:rFonts w:ascii="黑体" w:eastAsia="黑体" w:hAnsi="黑体" w:cs="黑体" w:hint="eastAsia"/>
                <w:color w:val="000000" w:themeColor="text1"/>
                <w:spacing w:val="-6"/>
                <w:sz w:val="18"/>
                <w:szCs w:val="18"/>
              </w:rPr>
              <w:t>项目</w:t>
            </w:r>
          </w:p>
          <w:p w:rsidR="00E37845" w:rsidRDefault="00E37845">
            <w:pPr>
              <w:widowControl/>
              <w:spacing w:before="100" w:beforeAutospacing="1" w:after="100" w:afterAutospacing="1" w:line="220" w:lineRule="exact"/>
              <w:jc w:val="center"/>
              <w:rPr>
                <w:rFonts w:ascii="黑体" w:eastAsia="黑体" w:hAnsi="黑体" w:cs="黑体"/>
                <w:color w:val="000000" w:themeColor="text1"/>
                <w:spacing w:val="-6"/>
                <w:sz w:val="18"/>
                <w:szCs w:val="18"/>
              </w:rPr>
            </w:pPr>
          </w:p>
          <w:p w:rsidR="00E37845" w:rsidRDefault="00E22BDD">
            <w:pPr>
              <w:widowControl/>
              <w:spacing w:before="100" w:beforeAutospacing="1" w:after="100" w:afterAutospacing="1" w:line="220" w:lineRule="exact"/>
              <w:jc w:val="center"/>
              <w:rPr>
                <w:rFonts w:ascii="黑体" w:eastAsia="黑体" w:hAnsi="黑体" w:cs="黑体"/>
                <w:color w:val="000000" w:themeColor="text1"/>
                <w:spacing w:val="-6"/>
                <w:sz w:val="18"/>
                <w:szCs w:val="18"/>
              </w:rPr>
            </w:pPr>
            <w:r>
              <w:rPr>
                <w:rFonts w:ascii="黑体" w:eastAsia="黑体" w:hAnsi="黑体" w:cs="黑体" w:hint="eastAsia"/>
                <w:color w:val="000000" w:themeColor="text1"/>
                <w:spacing w:val="-6"/>
                <w:sz w:val="18"/>
                <w:szCs w:val="18"/>
              </w:rPr>
              <w:t>序号</w:t>
            </w:r>
          </w:p>
        </w:tc>
        <w:tc>
          <w:tcPr>
            <w:tcW w:w="966" w:type="dxa"/>
            <w:vMerge w:val="restart"/>
            <w:vAlign w:val="center"/>
          </w:tcPr>
          <w:p w:rsidR="00E37845" w:rsidRDefault="00E22BDD">
            <w:pPr>
              <w:widowControl/>
              <w:spacing w:before="100" w:beforeAutospacing="1" w:after="100" w:afterAutospacing="1" w:line="220" w:lineRule="exact"/>
              <w:jc w:val="center"/>
              <w:rPr>
                <w:rFonts w:ascii="黑体" w:eastAsia="黑体" w:hAnsi="黑体" w:cs="黑体"/>
                <w:color w:val="000000" w:themeColor="text1"/>
                <w:spacing w:val="-6"/>
                <w:sz w:val="18"/>
                <w:szCs w:val="18"/>
              </w:rPr>
            </w:pPr>
            <w:r>
              <w:rPr>
                <w:rFonts w:ascii="黑体" w:eastAsia="黑体" w:hAnsi="黑体" w:cs="黑体" w:hint="eastAsia"/>
                <w:color w:val="000000" w:themeColor="text1"/>
                <w:spacing w:val="-6"/>
                <w:sz w:val="18"/>
                <w:szCs w:val="18"/>
              </w:rPr>
              <w:t>全国哲学社会科学规划办公室项目</w:t>
            </w:r>
          </w:p>
        </w:tc>
        <w:tc>
          <w:tcPr>
            <w:tcW w:w="1140" w:type="dxa"/>
            <w:vMerge w:val="restart"/>
            <w:vAlign w:val="center"/>
          </w:tcPr>
          <w:p w:rsidR="00E37845" w:rsidRDefault="00E22BDD">
            <w:pPr>
              <w:widowControl/>
              <w:spacing w:before="100" w:beforeAutospacing="1" w:after="100" w:afterAutospacing="1" w:line="220" w:lineRule="exact"/>
              <w:jc w:val="center"/>
              <w:rPr>
                <w:rFonts w:ascii="黑体" w:eastAsia="黑体" w:hAnsi="黑体" w:cs="黑体"/>
                <w:color w:val="000000" w:themeColor="text1"/>
                <w:spacing w:val="-6"/>
                <w:sz w:val="18"/>
                <w:szCs w:val="18"/>
              </w:rPr>
            </w:pPr>
            <w:r>
              <w:rPr>
                <w:rFonts w:ascii="黑体" w:eastAsia="黑体" w:hAnsi="黑体" w:cs="黑体" w:hint="eastAsia"/>
                <w:color w:val="000000" w:themeColor="text1"/>
                <w:spacing w:val="-6"/>
                <w:sz w:val="18"/>
                <w:szCs w:val="18"/>
              </w:rPr>
              <w:t>全国艺术科学规划办公室项目</w:t>
            </w:r>
          </w:p>
        </w:tc>
        <w:tc>
          <w:tcPr>
            <w:tcW w:w="1245" w:type="dxa"/>
            <w:vMerge w:val="restart"/>
            <w:vAlign w:val="center"/>
          </w:tcPr>
          <w:p w:rsidR="00E37845" w:rsidRDefault="00E22BDD">
            <w:pPr>
              <w:widowControl/>
              <w:spacing w:before="100" w:beforeAutospacing="1" w:after="100" w:afterAutospacing="1" w:line="220" w:lineRule="exact"/>
              <w:jc w:val="center"/>
              <w:rPr>
                <w:rFonts w:ascii="黑体" w:eastAsia="黑体" w:hAnsi="黑体" w:cs="黑体"/>
                <w:color w:val="000000" w:themeColor="text1"/>
                <w:spacing w:val="-6"/>
                <w:sz w:val="18"/>
                <w:szCs w:val="18"/>
              </w:rPr>
            </w:pPr>
            <w:r>
              <w:rPr>
                <w:rFonts w:ascii="黑体" w:eastAsia="黑体" w:hAnsi="黑体" w:cs="黑体" w:hint="eastAsia"/>
                <w:color w:val="000000" w:themeColor="text1"/>
                <w:spacing w:val="-6"/>
                <w:sz w:val="18"/>
                <w:szCs w:val="18"/>
              </w:rPr>
              <w:t>全国教育科学规划办公室项目</w:t>
            </w:r>
          </w:p>
        </w:tc>
        <w:tc>
          <w:tcPr>
            <w:tcW w:w="1110" w:type="dxa"/>
            <w:vMerge w:val="restart"/>
            <w:vAlign w:val="center"/>
          </w:tcPr>
          <w:p w:rsidR="00E37845" w:rsidRDefault="00E22BDD">
            <w:pPr>
              <w:widowControl/>
              <w:spacing w:before="100" w:beforeAutospacing="1" w:after="100" w:afterAutospacing="1" w:line="220" w:lineRule="exact"/>
              <w:jc w:val="center"/>
              <w:rPr>
                <w:rFonts w:ascii="黑体" w:eastAsia="黑体" w:hAnsi="黑体" w:cs="黑体"/>
                <w:color w:val="000000" w:themeColor="text1"/>
                <w:spacing w:val="-6"/>
                <w:sz w:val="18"/>
                <w:szCs w:val="18"/>
              </w:rPr>
            </w:pPr>
            <w:r>
              <w:rPr>
                <w:rFonts w:ascii="黑体" w:eastAsia="黑体" w:hAnsi="黑体" w:cs="黑体" w:hint="eastAsia"/>
                <w:color w:val="000000" w:themeColor="text1"/>
                <w:spacing w:val="-6"/>
                <w:sz w:val="18"/>
                <w:szCs w:val="18"/>
              </w:rPr>
              <w:t>教育部社科司项目</w:t>
            </w:r>
          </w:p>
        </w:tc>
        <w:tc>
          <w:tcPr>
            <w:tcW w:w="727" w:type="dxa"/>
            <w:vMerge w:val="restart"/>
            <w:vAlign w:val="center"/>
          </w:tcPr>
          <w:p w:rsidR="00E37845" w:rsidRDefault="00E22BDD">
            <w:pPr>
              <w:widowControl/>
              <w:spacing w:before="100" w:beforeAutospacing="1" w:after="100" w:afterAutospacing="1" w:line="220" w:lineRule="exact"/>
              <w:jc w:val="center"/>
              <w:rPr>
                <w:rFonts w:ascii="黑体" w:eastAsia="黑体" w:hAnsi="黑体" w:cs="黑体"/>
                <w:color w:val="000000" w:themeColor="text1"/>
                <w:spacing w:val="-6"/>
                <w:sz w:val="18"/>
                <w:szCs w:val="18"/>
              </w:rPr>
            </w:pPr>
            <w:r>
              <w:rPr>
                <w:rFonts w:ascii="黑体" w:eastAsia="黑体" w:hAnsi="黑体" w:cs="黑体" w:hint="eastAsia"/>
                <w:color w:val="000000" w:themeColor="text1"/>
                <w:spacing w:val="-6"/>
                <w:sz w:val="18"/>
                <w:szCs w:val="18"/>
              </w:rPr>
              <w:t>国家艺术基金委项目</w:t>
            </w:r>
          </w:p>
        </w:tc>
        <w:tc>
          <w:tcPr>
            <w:tcW w:w="1162" w:type="dxa"/>
            <w:vMerge w:val="restart"/>
            <w:vAlign w:val="center"/>
          </w:tcPr>
          <w:p w:rsidR="00E37845" w:rsidRDefault="00E22BDD">
            <w:pPr>
              <w:widowControl/>
              <w:spacing w:before="100" w:beforeAutospacing="1" w:after="100" w:afterAutospacing="1" w:line="220" w:lineRule="exact"/>
              <w:jc w:val="center"/>
              <w:rPr>
                <w:rFonts w:ascii="黑体" w:eastAsia="黑体" w:hAnsi="黑体" w:cs="黑体"/>
                <w:color w:val="000000" w:themeColor="text1"/>
                <w:spacing w:val="-6"/>
                <w:sz w:val="18"/>
                <w:szCs w:val="18"/>
              </w:rPr>
            </w:pPr>
            <w:r>
              <w:rPr>
                <w:rFonts w:ascii="黑体" w:eastAsia="黑体" w:hAnsi="黑体" w:cs="黑体" w:hint="eastAsia"/>
                <w:color w:val="000000" w:themeColor="text1"/>
                <w:spacing w:val="-6"/>
                <w:sz w:val="18"/>
                <w:szCs w:val="18"/>
              </w:rPr>
              <w:t>其他各部委项目</w:t>
            </w:r>
          </w:p>
        </w:tc>
        <w:tc>
          <w:tcPr>
            <w:tcW w:w="2928" w:type="dxa"/>
            <w:gridSpan w:val="3"/>
            <w:vAlign w:val="center"/>
          </w:tcPr>
          <w:p w:rsidR="00E37845" w:rsidRDefault="00E22BDD">
            <w:pPr>
              <w:widowControl/>
              <w:spacing w:before="100" w:beforeAutospacing="1" w:after="100" w:afterAutospacing="1" w:line="220" w:lineRule="exact"/>
              <w:jc w:val="center"/>
              <w:rPr>
                <w:rFonts w:ascii="黑体" w:eastAsia="黑体" w:hAnsi="黑体" w:cs="黑体"/>
                <w:color w:val="000000" w:themeColor="text1"/>
                <w:spacing w:val="-6"/>
                <w:sz w:val="18"/>
                <w:szCs w:val="18"/>
              </w:rPr>
            </w:pPr>
            <w:r>
              <w:rPr>
                <w:rFonts w:ascii="黑体" w:eastAsia="黑体" w:hAnsi="黑体" w:cs="黑体" w:hint="eastAsia"/>
                <w:color w:val="000000" w:themeColor="text1"/>
                <w:spacing w:val="-6"/>
                <w:sz w:val="18"/>
                <w:szCs w:val="18"/>
              </w:rPr>
              <w:t>省级社科项目</w:t>
            </w:r>
          </w:p>
        </w:tc>
      </w:tr>
      <w:tr w:rsidR="00E37845">
        <w:trPr>
          <w:trHeight w:val="932"/>
          <w:jc w:val="center"/>
        </w:trPr>
        <w:tc>
          <w:tcPr>
            <w:tcW w:w="648" w:type="dxa"/>
            <w:vMerge/>
            <w:tcBorders>
              <w:tl2br w:val="single" w:sz="4" w:space="0" w:color="auto"/>
            </w:tcBorders>
            <w:vAlign w:val="center"/>
          </w:tcPr>
          <w:p w:rsidR="00E37845" w:rsidRDefault="00E37845">
            <w:pPr>
              <w:widowControl/>
              <w:spacing w:before="100" w:beforeAutospacing="1" w:after="100" w:afterAutospacing="1" w:line="220" w:lineRule="exact"/>
              <w:jc w:val="center"/>
              <w:rPr>
                <w:rFonts w:ascii="黑体" w:eastAsia="黑体" w:hAnsi="黑体" w:cs="黑体"/>
                <w:color w:val="000000" w:themeColor="text1"/>
                <w:spacing w:val="-6"/>
                <w:sz w:val="18"/>
                <w:szCs w:val="18"/>
              </w:rPr>
            </w:pPr>
          </w:p>
        </w:tc>
        <w:tc>
          <w:tcPr>
            <w:tcW w:w="966" w:type="dxa"/>
            <w:vMerge/>
            <w:vAlign w:val="center"/>
          </w:tcPr>
          <w:p w:rsidR="00E37845" w:rsidRDefault="00E37845">
            <w:pPr>
              <w:widowControl/>
              <w:spacing w:before="100" w:beforeAutospacing="1" w:after="100" w:afterAutospacing="1" w:line="220" w:lineRule="exact"/>
              <w:jc w:val="center"/>
              <w:rPr>
                <w:rFonts w:ascii="黑体" w:eastAsia="黑体" w:hAnsi="黑体" w:cs="黑体"/>
                <w:color w:val="000000" w:themeColor="text1"/>
                <w:spacing w:val="-6"/>
                <w:sz w:val="18"/>
                <w:szCs w:val="18"/>
              </w:rPr>
            </w:pPr>
          </w:p>
        </w:tc>
        <w:tc>
          <w:tcPr>
            <w:tcW w:w="1140" w:type="dxa"/>
            <w:vMerge/>
            <w:vAlign w:val="center"/>
          </w:tcPr>
          <w:p w:rsidR="00E37845" w:rsidRDefault="00E37845">
            <w:pPr>
              <w:widowControl/>
              <w:spacing w:before="100" w:beforeAutospacing="1" w:after="100" w:afterAutospacing="1" w:line="220" w:lineRule="exact"/>
              <w:jc w:val="center"/>
              <w:rPr>
                <w:rFonts w:ascii="黑体" w:eastAsia="黑体" w:hAnsi="黑体" w:cs="黑体"/>
                <w:color w:val="000000" w:themeColor="text1"/>
                <w:spacing w:val="-6"/>
                <w:sz w:val="18"/>
                <w:szCs w:val="18"/>
              </w:rPr>
            </w:pPr>
          </w:p>
        </w:tc>
        <w:tc>
          <w:tcPr>
            <w:tcW w:w="1245" w:type="dxa"/>
            <w:vMerge/>
            <w:vAlign w:val="center"/>
          </w:tcPr>
          <w:p w:rsidR="00E37845" w:rsidRDefault="00E37845">
            <w:pPr>
              <w:widowControl/>
              <w:spacing w:before="100" w:beforeAutospacing="1" w:after="100" w:afterAutospacing="1" w:line="220" w:lineRule="exact"/>
              <w:jc w:val="center"/>
              <w:rPr>
                <w:rFonts w:ascii="黑体" w:eastAsia="黑体" w:hAnsi="黑体" w:cs="黑体"/>
                <w:color w:val="000000" w:themeColor="text1"/>
                <w:spacing w:val="-6"/>
                <w:sz w:val="18"/>
                <w:szCs w:val="18"/>
              </w:rPr>
            </w:pPr>
          </w:p>
        </w:tc>
        <w:tc>
          <w:tcPr>
            <w:tcW w:w="1110" w:type="dxa"/>
            <w:vMerge/>
            <w:vAlign w:val="center"/>
          </w:tcPr>
          <w:p w:rsidR="00E37845" w:rsidRDefault="00E37845">
            <w:pPr>
              <w:widowControl/>
              <w:spacing w:before="100" w:beforeAutospacing="1" w:after="100" w:afterAutospacing="1" w:line="220" w:lineRule="exact"/>
              <w:jc w:val="center"/>
              <w:rPr>
                <w:rFonts w:ascii="黑体" w:eastAsia="黑体" w:hAnsi="黑体" w:cs="黑体"/>
                <w:color w:val="000000" w:themeColor="text1"/>
                <w:spacing w:val="-6"/>
                <w:sz w:val="18"/>
                <w:szCs w:val="18"/>
              </w:rPr>
            </w:pPr>
          </w:p>
        </w:tc>
        <w:tc>
          <w:tcPr>
            <w:tcW w:w="727" w:type="dxa"/>
            <w:vMerge/>
            <w:vAlign w:val="center"/>
          </w:tcPr>
          <w:p w:rsidR="00E37845" w:rsidRDefault="00E37845">
            <w:pPr>
              <w:widowControl/>
              <w:spacing w:before="100" w:beforeAutospacing="1" w:after="100" w:afterAutospacing="1" w:line="220" w:lineRule="exact"/>
              <w:jc w:val="center"/>
              <w:rPr>
                <w:rFonts w:ascii="黑体" w:eastAsia="黑体" w:hAnsi="黑体" w:cs="黑体"/>
                <w:color w:val="000000" w:themeColor="text1"/>
                <w:spacing w:val="-6"/>
                <w:sz w:val="18"/>
                <w:szCs w:val="18"/>
              </w:rPr>
            </w:pPr>
          </w:p>
        </w:tc>
        <w:tc>
          <w:tcPr>
            <w:tcW w:w="1162" w:type="dxa"/>
            <w:vMerge/>
            <w:vAlign w:val="center"/>
          </w:tcPr>
          <w:p w:rsidR="00E37845" w:rsidRDefault="00E37845">
            <w:pPr>
              <w:widowControl/>
              <w:spacing w:before="100" w:beforeAutospacing="1" w:after="100" w:afterAutospacing="1" w:line="220" w:lineRule="exact"/>
              <w:jc w:val="center"/>
              <w:rPr>
                <w:rFonts w:ascii="黑体" w:eastAsia="黑体" w:hAnsi="黑体" w:cs="黑体"/>
                <w:color w:val="000000" w:themeColor="text1"/>
                <w:spacing w:val="-6"/>
                <w:sz w:val="18"/>
                <w:szCs w:val="18"/>
              </w:rPr>
            </w:pPr>
          </w:p>
        </w:tc>
        <w:tc>
          <w:tcPr>
            <w:tcW w:w="1013" w:type="dxa"/>
            <w:vAlign w:val="center"/>
          </w:tcPr>
          <w:p w:rsidR="00E37845" w:rsidRDefault="00E22BDD">
            <w:pPr>
              <w:spacing w:before="100" w:beforeAutospacing="1" w:after="100" w:afterAutospacing="1" w:line="220" w:lineRule="exact"/>
              <w:jc w:val="center"/>
              <w:rPr>
                <w:rFonts w:ascii="黑体" w:eastAsia="黑体" w:hAnsi="黑体" w:cs="黑体"/>
                <w:color w:val="000000" w:themeColor="text1"/>
                <w:spacing w:val="-6"/>
                <w:sz w:val="18"/>
                <w:szCs w:val="18"/>
              </w:rPr>
            </w:pPr>
            <w:r>
              <w:rPr>
                <w:rFonts w:ascii="黑体" w:eastAsia="黑体" w:hAnsi="黑体" w:cs="黑体" w:hint="eastAsia"/>
                <w:color w:val="000000" w:themeColor="text1"/>
                <w:spacing w:val="-6"/>
                <w:sz w:val="18"/>
                <w:szCs w:val="18"/>
              </w:rPr>
              <w:t>省哲学社科规划领导小组办公室项目</w:t>
            </w:r>
          </w:p>
        </w:tc>
        <w:tc>
          <w:tcPr>
            <w:tcW w:w="955" w:type="dxa"/>
            <w:vAlign w:val="center"/>
          </w:tcPr>
          <w:p w:rsidR="00E37845" w:rsidRDefault="00E22BDD">
            <w:pPr>
              <w:widowControl/>
              <w:spacing w:before="100" w:beforeAutospacing="1" w:after="100" w:afterAutospacing="1" w:line="220" w:lineRule="exact"/>
              <w:jc w:val="center"/>
              <w:rPr>
                <w:rFonts w:ascii="黑体" w:eastAsia="黑体" w:hAnsi="黑体" w:cs="黑体"/>
                <w:color w:val="000000" w:themeColor="text1"/>
                <w:spacing w:val="-6"/>
                <w:sz w:val="18"/>
                <w:szCs w:val="18"/>
              </w:rPr>
            </w:pPr>
            <w:r>
              <w:rPr>
                <w:rFonts w:ascii="黑体" w:eastAsia="黑体" w:hAnsi="黑体" w:cs="黑体" w:hint="eastAsia"/>
                <w:color w:val="000000" w:themeColor="text1"/>
                <w:spacing w:val="-6"/>
                <w:sz w:val="18"/>
                <w:szCs w:val="18"/>
              </w:rPr>
              <w:t>省委宣传部项目</w:t>
            </w:r>
          </w:p>
        </w:tc>
        <w:tc>
          <w:tcPr>
            <w:tcW w:w="960" w:type="dxa"/>
            <w:vAlign w:val="center"/>
          </w:tcPr>
          <w:p w:rsidR="00E37845" w:rsidRDefault="00E22BDD">
            <w:pPr>
              <w:widowControl/>
              <w:spacing w:before="100" w:beforeAutospacing="1" w:after="100" w:afterAutospacing="1" w:line="220" w:lineRule="exact"/>
              <w:jc w:val="center"/>
              <w:rPr>
                <w:rFonts w:ascii="黑体" w:eastAsia="黑体" w:hAnsi="黑体" w:cs="黑体"/>
                <w:color w:val="000000" w:themeColor="text1"/>
                <w:spacing w:val="-6"/>
                <w:sz w:val="18"/>
                <w:szCs w:val="18"/>
              </w:rPr>
            </w:pPr>
            <w:r>
              <w:rPr>
                <w:rFonts w:ascii="黑体" w:eastAsia="黑体" w:hAnsi="黑体" w:cs="黑体" w:hint="eastAsia"/>
                <w:color w:val="000000" w:themeColor="text1"/>
                <w:spacing w:val="-6"/>
                <w:sz w:val="18"/>
                <w:szCs w:val="18"/>
              </w:rPr>
              <w:t>其他省级政府部门项目</w:t>
            </w:r>
          </w:p>
        </w:tc>
      </w:tr>
      <w:tr w:rsidR="00E37845">
        <w:trPr>
          <w:trHeight w:val="1055"/>
          <w:jc w:val="center"/>
        </w:trPr>
        <w:tc>
          <w:tcPr>
            <w:tcW w:w="648"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联系方式</w:t>
            </w:r>
          </w:p>
        </w:tc>
        <w:tc>
          <w:tcPr>
            <w:tcW w:w="966"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罗萍</w:t>
            </w:r>
            <w:r>
              <w:rPr>
                <w:rFonts w:ascii="仿宋_GB2312" w:eastAsia="仿宋_GB2312" w:hAnsi="仿宋_GB2312" w:cs="仿宋_GB2312"/>
                <w:color w:val="000000" w:themeColor="text1"/>
                <w:spacing w:val="-6"/>
                <w:sz w:val="18"/>
                <w:szCs w:val="18"/>
              </w:rPr>
              <w:t>TEL39366196</w:t>
            </w:r>
            <w:r>
              <w:rPr>
                <w:rFonts w:ascii="仿宋_GB2312" w:eastAsia="仿宋_GB2312" w:hAnsi="仿宋_GB2312" w:cs="仿宋_GB2312" w:hint="eastAsia"/>
                <w:color w:val="000000" w:themeColor="text1"/>
                <w:spacing w:val="-6"/>
                <w:sz w:val="18"/>
                <w:szCs w:val="18"/>
              </w:rPr>
              <w:t>、李丽丽</w:t>
            </w:r>
          </w:p>
        </w:tc>
        <w:tc>
          <w:tcPr>
            <w:tcW w:w="5384" w:type="dxa"/>
            <w:gridSpan w:val="5"/>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李丽丽</w:t>
            </w:r>
            <w:r>
              <w:rPr>
                <w:rFonts w:ascii="仿宋_GB2312" w:eastAsia="仿宋_GB2312" w:hAnsi="仿宋_GB2312" w:cs="仿宋_GB2312"/>
                <w:color w:val="000000" w:themeColor="text1"/>
                <w:spacing w:val="-6"/>
                <w:sz w:val="18"/>
                <w:szCs w:val="18"/>
              </w:rPr>
              <w:t xml:space="preserve"> TEL：39366191</w:t>
            </w:r>
          </w:p>
        </w:tc>
        <w:tc>
          <w:tcPr>
            <w:tcW w:w="2928" w:type="dxa"/>
            <w:gridSpan w:val="3"/>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冯冬梅</w:t>
            </w:r>
            <w:r>
              <w:rPr>
                <w:rFonts w:ascii="仿宋_GB2312" w:eastAsia="仿宋_GB2312" w:hAnsi="仿宋_GB2312" w:cs="仿宋_GB2312"/>
                <w:color w:val="000000" w:themeColor="text1"/>
                <w:spacing w:val="-6"/>
                <w:sz w:val="18"/>
                <w:szCs w:val="18"/>
              </w:rPr>
              <w:t xml:space="preserve"> TEL：39366191</w:t>
            </w:r>
          </w:p>
        </w:tc>
      </w:tr>
      <w:tr w:rsidR="00E37845">
        <w:trPr>
          <w:trHeight w:val="794"/>
          <w:jc w:val="center"/>
        </w:trPr>
        <w:tc>
          <w:tcPr>
            <w:tcW w:w="648"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fldChar w:fldCharType="begin"/>
            </w:r>
            <w:r>
              <w:rPr>
                <w:rFonts w:ascii="仿宋_GB2312" w:eastAsia="仿宋_GB2312" w:hAnsi="仿宋_GB2312" w:cs="仿宋_GB2312"/>
                <w:color w:val="000000" w:themeColor="text1"/>
                <w:spacing w:val="-6"/>
                <w:sz w:val="18"/>
                <w:szCs w:val="18"/>
              </w:rPr>
              <w:instrText xml:space="preserve"> seq n/0# </w:instrText>
            </w:r>
            <w:r>
              <w:rPr>
                <w:rFonts w:ascii="仿宋_GB2312" w:eastAsia="仿宋_GB2312" w:hAnsi="仿宋_GB2312" w:cs="仿宋_GB2312" w:hint="eastAsia"/>
                <w:color w:val="000000" w:themeColor="text1"/>
                <w:spacing w:val="-6"/>
                <w:sz w:val="18"/>
                <w:szCs w:val="18"/>
              </w:rPr>
              <w:fldChar w:fldCharType="separate"/>
            </w:r>
            <w:r>
              <w:rPr>
                <w:rFonts w:ascii="仿宋_GB2312" w:eastAsia="仿宋_GB2312" w:hAnsi="仿宋_GB2312" w:cs="仿宋_GB2312"/>
                <w:color w:val="000000" w:themeColor="text1"/>
                <w:spacing w:val="-6"/>
                <w:sz w:val="18"/>
                <w:szCs w:val="18"/>
              </w:rPr>
              <w:t>1</w:t>
            </w:r>
            <w:r>
              <w:rPr>
                <w:rFonts w:ascii="仿宋_GB2312" w:eastAsia="仿宋_GB2312" w:hAnsi="仿宋_GB2312" w:cs="仿宋_GB2312" w:hint="eastAsia"/>
                <w:color w:val="000000" w:themeColor="text1"/>
                <w:spacing w:val="-6"/>
                <w:sz w:val="18"/>
                <w:szCs w:val="18"/>
              </w:rPr>
              <w:fldChar w:fldCharType="end"/>
            </w:r>
          </w:p>
        </w:tc>
        <w:tc>
          <w:tcPr>
            <w:tcW w:w="966"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国家社科基金重大项目</w:t>
            </w:r>
          </w:p>
        </w:tc>
        <w:tc>
          <w:tcPr>
            <w:tcW w:w="1140"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国家社科基金艺术学重大项目</w:t>
            </w:r>
          </w:p>
        </w:tc>
        <w:tc>
          <w:tcPr>
            <w:tcW w:w="1245"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国家社科基金教育学重大项目</w:t>
            </w:r>
          </w:p>
        </w:tc>
        <w:tc>
          <w:tcPr>
            <w:tcW w:w="1110"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教育部人文社科重大攻关项目</w:t>
            </w:r>
          </w:p>
        </w:tc>
        <w:tc>
          <w:tcPr>
            <w:tcW w:w="727"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国家艺术基金项目</w:t>
            </w:r>
          </w:p>
        </w:tc>
        <w:tc>
          <w:tcPr>
            <w:tcW w:w="1162"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国家语委项目</w:t>
            </w:r>
          </w:p>
        </w:tc>
        <w:tc>
          <w:tcPr>
            <w:tcW w:w="1013"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省哲学社科规划一般项目</w:t>
            </w:r>
          </w:p>
        </w:tc>
        <w:tc>
          <w:tcPr>
            <w:tcW w:w="955"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省理论粤军委托项目</w:t>
            </w:r>
          </w:p>
        </w:tc>
        <w:tc>
          <w:tcPr>
            <w:tcW w:w="960"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省决策咨询重大项目</w:t>
            </w:r>
          </w:p>
        </w:tc>
      </w:tr>
      <w:tr w:rsidR="00E37845">
        <w:trPr>
          <w:trHeight w:val="1577"/>
          <w:jc w:val="center"/>
        </w:trPr>
        <w:tc>
          <w:tcPr>
            <w:tcW w:w="648"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fldChar w:fldCharType="begin"/>
            </w:r>
            <w:r>
              <w:rPr>
                <w:rFonts w:ascii="仿宋_GB2312" w:eastAsia="仿宋_GB2312" w:hAnsi="仿宋_GB2312" w:cs="仿宋_GB2312"/>
                <w:color w:val="000000" w:themeColor="text1"/>
                <w:spacing w:val="-6"/>
                <w:sz w:val="18"/>
                <w:szCs w:val="18"/>
              </w:rPr>
              <w:instrText xml:space="preserve"> seq n/0# </w:instrText>
            </w:r>
            <w:r>
              <w:rPr>
                <w:rFonts w:ascii="仿宋_GB2312" w:eastAsia="仿宋_GB2312" w:hAnsi="仿宋_GB2312" w:cs="仿宋_GB2312" w:hint="eastAsia"/>
                <w:color w:val="000000" w:themeColor="text1"/>
                <w:spacing w:val="-6"/>
                <w:sz w:val="18"/>
                <w:szCs w:val="18"/>
              </w:rPr>
              <w:fldChar w:fldCharType="separate"/>
            </w:r>
            <w:r>
              <w:rPr>
                <w:rFonts w:ascii="仿宋_GB2312" w:eastAsia="仿宋_GB2312" w:hAnsi="仿宋_GB2312" w:cs="仿宋_GB2312"/>
                <w:color w:val="000000" w:themeColor="text1"/>
                <w:spacing w:val="-6"/>
                <w:sz w:val="18"/>
                <w:szCs w:val="18"/>
              </w:rPr>
              <w:t>2</w:t>
            </w:r>
            <w:r>
              <w:rPr>
                <w:rFonts w:ascii="仿宋_GB2312" w:eastAsia="仿宋_GB2312" w:hAnsi="仿宋_GB2312" w:cs="仿宋_GB2312" w:hint="eastAsia"/>
                <w:color w:val="000000" w:themeColor="text1"/>
                <w:spacing w:val="-6"/>
                <w:sz w:val="18"/>
                <w:szCs w:val="18"/>
              </w:rPr>
              <w:fldChar w:fldCharType="end"/>
            </w:r>
          </w:p>
        </w:tc>
        <w:tc>
          <w:tcPr>
            <w:tcW w:w="966"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国家社科基金重点项目</w:t>
            </w:r>
          </w:p>
        </w:tc>
        <w:tc>
          <w:tcPr>
            <w:tcW w:w="1140"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国家社科基金艺术学重点项目</w:t>
            </w:r>
          </w:p>
        </w:tc>
        <w:tc>
          <w:tcPr>
            <w:tcW w:w="1245"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国家社科基金教育学重点项目</w:t>
            </w:r>
          </w:p>
        </w:tc>
        <w:tc>
          <w:tcPr>
            <w:tcW w:w="1110"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教育部人文社科规划基金项目</w:t>
            </w:r>
          </w:p>
        </w:tc>
        <w:tc>
          <w:tcPr>
            <w:tcW w:w="727"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1162"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司法部</w:t>
            </w:r>
          </w:p>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项目</w:t>
            </w:r>
          </w:p>
        </w:tc>
        <w:tc>
          <w:tcPr>
            <w:tcW w:w="1013"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省哲学社科规划青年项目</w:t>
            </w:r>
          </w:p>
        </w:tc>
        <w:tc>
          <w:tcPr>
            <w:tcW w:w="955"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省哲学社科优势重点学科项目</w:t>
            </w:r>
          </w:p>
        </w:tc>
        <w:tc>
          <w:tcPr>
            <w:tcW w:w="960"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其他省级政府科研主管部门发布的公开竞争的科研项目</w:t>
            </w:r>
          </w:p>
        </w:tc>
      </w:tr>
      <w:tr w:rsidR="00E37845">
        <w:trPr>
          <w:trHeight w:val="794"/>
          <w:jc w:val="center"/>
        </w:trPr>
        <w:tc>
          <w:tcPr>
            <w:tcW w:w="648"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fldChar w:fldCharType="begin"/>
            </w:r>
            <w:r>
              <w:rPr>
                <w:rFonts w:ascii="仿宋_GB2312" w:eastAsia="仿宋_GB2312" w:hAnsi="仿宋_GB2312" w:cs="仿宋_GB2312"/>
                <w:color w:val="000000" w:themeColor="text1"/>
                <w:spacing w:val="-6"/>
                <w:sz w:val="18"/>
                <w:szCs w:val="18"/>
              </w:rPr>
              <w:instrText xml:space="preserve"> seq n/0# </w:instrText>
            </w:r>
            <w:r>
              <w:rPr>
                <w:rFonts w:ascii="仿宋_GB2312" w:eastAsia="仿宋_GB2312" w:hAnsi="仿宋_GB2312" w:cs="仿宋_GB2312" w:hint="eastAsia"/>
                <w:color w:val="000000" w:themeColor="text1"/>
                <w:spacing w:val="-6"/>
                <w:sz w:val="18"/>
                <w:szCs w:val="18"/>
              </w:rPr>
              <w:fldChar w:fldCharType="separate"/>
            </w:r>
            <w:r>
              <w:rPr>
                <w:rFonts w:ascii="仿宋_GB2312" w:eastAsia="仿宋_GB2312" w:hAnsi="仿宋_GB2312" w:cs="仿宋_GB2312"/>
                <w:color w:val="000000" w:themeColor="text1"/>
                <w:spacing w:val="-6"/>
                <w:sz w:val="18"/>
                <w:szCs w:val="18"/>
              </w:rPr>
              <w:t>3</w:t>
            </w:r>
            <w:r>
              <w:rPr>
                <w:rFonts w:ascii="仿宋_GB2312" w:eastAsia="仿宋_GB2312" w:hAnsi="仿宋_GB2312" w:cs="仿宋_GB2312" w:hint="eastAsia"/>
                <w:color w:val="000000" w:themeColor="text1"/>
                <w:spacing w:val="-6"/>
                <w:sz w:val="18"/>
                <w:szCs w:val="18"/>
              </w:rPr>
              <w:fldChar w:fldCharType="end"/>
            </w:r>
          </w:p>
        </w:tc>
        <w:tc>
          <w:tcPr>
            <w:tcW w:w="966"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国家社科基金一般项目</w:t>
            </w:r>
          </w:p>
        </w:tc>
        <w:tc>
          <w:tcPr>
            <w:tcW w:w="1140"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国家社科基金艺术学一般项目</w:t>
            </w:r>
          </w:p>
        </w:tc>
        <w:tc>
          <w:tcPr>
            <w:tcW w:w="1245"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国家社科基金教育学一般项目</w:t>
            </w:r>
          </w:p>
        </w:tc>
        <w:tc>
          <w:tcPr>
            <w:tcW w:w="1110"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教育部人文社科青年基金项目</w:t>
            </w:r>
          </w:p>
        </w:tc>
        <w:tc>
          <w:tcPr>
            <w:tcW w:w="727"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1162"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国家体育总局项目</w:t>
            </w:r>
          </w:p>
        </w:tc>
        <w:tc>
          <w:tcPr>
            <w:tcW w:w="1013"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省哲学社科规划后期资助项目</w:t>
            </w:r>
          </w:p>
        </w:tc>
        <w:tc>
          <w:tcPr>
            <w:tcW w:w="955"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省哲学社科马克思主义专项</w:t>
            </w:r>
          </w:p>
        </w:tc>
        <w:tc>
          <w:tcPr>
            <w:tcW w:w="960"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r>
      <w:tr w:rsidR="00E37845">
        <w:trPr>
          <w:trHeight w:val="794"/>
          <w:jc w:val="center"/>
        </w:trPr>
        <w:tc>
          <w:tcPr>
            <w:tcW w:w="648"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fldChar w:fldCharType="begin"/>
            </w:r>
            <w:r>
              <w:rPr>
                <w:rFonts w:ascii="仿宋_GB2312" w:eastAsia="仿宋_GB2312" w:hAnsi="仿宋_GB2312" w:cs="仿宋_GB2312"/>
                <w:color w:val="000000" w:themeColor="text1"/>
                <w:spacing w:val="-6"/>
                <w:sz w:val="18"/>
                <w:szCs w:val="18"/>
              </w:rPr>
              <w:instrText xml:space="preserve"> seq n/0# </w:instrText>
            </w:r>
            <w:r>
              <w:rPr>
                <w:rFonts w:ascii="仿宋_GB2312" w:eastAsia="仿宋_GB2312" w:hAnsi="仿宋_GB2312" w:cs="仿宋_GB2312" w:hint="eastAsia"/>
                <w:color w:val="000000" w:themeColor="text1"/>
                <w:spacing w:val="-6"/>
                <w:sz w:val="18"/>
                <w:szCs w:val="18"/>
              </w:rPr>
              <w:fldChar w:fldCharType="separate"/>
            </w:r>
            <w:r>
              <w:rPr>
                <w:rFonts w:ascii="仿宋_GB2312" w:eastAsia="仿宋_GB2312" w:hAnsi="仿宋_GB2312" w:cs="仿宋_GB2312"/>
                <w:color w:val="000000" w:themeColor="text1"/>
                <w:spacing w:val="-6"/>
                <w:sz w:val="18"/>
                <w:szCs w:val="18"/>
              </w:rPr>
              <w:t>4</w:t>
            </w:r>
            <w:r>
              <w:rPr>
                <w:rFonts w:ascii="仿宋_GB2312" w:eastAsia="仿宋_GB2312" w:hAnsi="仿宋_GB2312" w:cs="仿宋_GB2312" w:hint="eastAsia"/>
                <w:color w:val="000000" w:themeColor="text1"/>
                <w:spacing w:val="-6"/>
                <w:sz w:val="18"/>
                <w:szCs w:val="18"/>
              </w:rPr>
              <w:fldChar w:fldCharType="end"/>
            </w:r>
          </w:p>
        </w:tc>
        <w:tc>
          <w:tcPr>
            <w:tcW w:w="966"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国家社科基金青年项目</w:t>
            </w:r>
          </w:p>
        </w:tc>
        <w:tc>
          <w:tcPr>
            <w:tcW w:w="1140"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国家社科基金艺术学青年项目</w:t>
            </w:r>
          </w:p>
        </w:tc>
        <w:tc>
          <w:tcPr>
            <w:tcW w:w="1245"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国家社科基金教育学青年项目</w:t>
            </w:r>
          </w:p>
        </w:tc>
        <w:tc>
          <w:tcPr>
            <w:tcW w:w="1110"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教育部人文社科自筹基金项目</w:t>
            </w:r>
          </w:p>
        </w:tc>
        <w:tc>
          <w:tcPr>
            <w:tcW w:w="727"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1162"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全国古籍整理规划项目</w:t>
            </w:r>
          </w:p>
        </w:tc>
        <w:tc>
          <w:tcPr>
            <w:tcW w:w="1013"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省哲学社科规划学科共建项目</w:t>
            </w:r>
          </w:p>
        </w:tc>
        <w:tc>
          <w:tcPr>
            <w:tcW w:w="955"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省委宣传部委托项目</w:t>
            </w:r>
          </w:p>
        </w:tc>
        <w:tc>
          <w:tcPr>
            <w:tcW w:w="960"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r>
      <w:tr w:rsidR="00E37845">
        <w:trPr>
          <w:trHeight w:val="1253"/>
          <w:jc w:val="center"/>
        </w:trPr>
        <w:tc>
          <w:tcPr>
            <w:tcW w:w="648"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fldChar w:fldCharType="begin"/>
            </w:r>
            <w:r>
              <w:rPr>
                <w:rFonts w:ascii="仿宋_GB2312" w:eastAsia="仿宋_GB2312" w:hAnsi="仿宋_GB2312" w:cs="仿宋_GB2312"/>
                <w:color w:val="000000" w:themeColor="text1"/>
                <w:spacing w:val="-6"/>
                <w:sz w:val="18"/>
                <w:szCs w:val="18"/>
              </w:rPr>
              <w:instrText xml:space="preserve"> seq n/0# </w:instrText>
            </w:r>
            <w:r>
              <w:rPr>
                <w:rFonts w:ascii="仿宋_GB2312" w:eastAsia="仿宋_GB2312" w:hAnsi="仿宋_GB2312" w:cs="仿宋_GB2312" w:hint="eastAsia"/>
                <w:color w:val="000000" w:themeColor="text1"/>
                <w:spacing w:val="-6"/>
                <w:sz w:val="18"/>
                <w:szCs w:val="18"/>
              </w:rPr>
              <w:fldChar w:fldCharType="separate"/>
            </w:r>
            <w:r>
              <w:rPr>
                <w:rFonts w:ascii="仿宋_GB2312" w:eastAsia="仿宋_GB2312" w:hAnsi="仿宋_GB2312" w:cs="仿宋_GB2312"/>
                <w:color w:val="000000" w:themeColor="text1"/>
                <w:spacing w:val="-6"/>
                <w:sz w:val="18"/>
                <w:szCs w:val="18"/>
              </w:rPr>
              <w:t>5</w:t>
            </w:r>
            <w:r>
              <w:rPr>
                <w:rFonts w:ascii="仿宋_GB2312" w:eastAsia="仿宋_GB2312" w:hAnsi="仿宋_GB2312" w:cs="仿宋_GB2312" w:hint="eastAsia"/>
                <w:color w:val="000000" w:themeColor="text1"/>
                <w:spacing w:val="-6"/>
                <w:sz w:val="18"/>
                <w:szCs w:val="18"/>
              </w:rPr>
              <w:fldChar w:fldCharType="end"/>
            </w:r>
          </w:p>
        </w:tc>
        <w:tc>
          <w:tcPr>
            <w:tcW w:w="966"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国家社科基金后期资助项目</w:t>
            </w:r>
          </w:p>
        </w:tc>
        <w:tc>
          <w:tcPr>
            <w:tcW w:w="1140"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全国艺术科学文化部项目</w:t>
            </w:r>
          </w:p>
        </w:tc>
        <w:tc>
          <w:tcPr>
            <w:tcW w:w="1245"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全国教育科学规划教育部重点项目</w:t>
            </w:r>
          </w:p>
        </w:tc>
        <w:tc>
          <w:tcPr>
            <w:tcW w:w="1110"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教育部人文社科专项任务项目</w:t>
            </w:r>
          </w:p>
        </w:tc>
        <w:tc>
          <w:tcPr>
            <w:tcW w:w="727"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1162"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其他各部委科研主管部门发布的公开竞争的科研项目</w:t>
            </w:r>
          </w:p>
        </w:tc>
        <w:tc>
          <w:tcPr>
            <w:tcW w:w="1013"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省哲学社科规划地方文化特色项目</w:t>
            </w:r>
          </w:p>
        </w:tc>
        <w:tc>
          <w:tcPr>
            <w:tcW w:w="955"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960"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r>
      <w:tr w:rsidR="00E37845">
        <w:trPr>
          <w:trHeight w:val="794"/>
          <w:jc w:val="center"/>
        </w:trPr>
        <w:tc>
          <w:tcPr>
            <w:tcW w:w="648"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fldChar w:fldCharType="begin"/>
            </w:r>
            <w:r>
              <w:rPr>
                <w:rFonts w:ascii="仿宋_GB2312" w:eastAsia="仿宋_GB2312" w:hAnsi="仿宋_GB2312" w:cs="仿宋_GB2312"/>
                <w:color w:val="000000" w:themeColor="text1"/>
                <w:spacing w:val="-6"/>
                <w:sz w:val="18"/>
                <w:szCs w:val="18"/>
              </w:rPr>
              <w:instrText xml:space="preserve"> seq n/0# </w:instrText>
            </w:r>
            <w:r>
              <w:rPr>
                <w:rFonts w:ascii="仿宋_GB2312" w:eastAsia="仿宋_GB2312" w:hAnsi="仿宋_GB2312" w:cs="仿宋_GB2312" w:hint="eastAsia"/>
                <w:color w:val="000000" w:themeColor="text1"/>
                <w:spacing w:val="-6"/>
                <w:sz w:val="18"/>
                <w:szCs w:val="18"/>
              </w:rPr>
              <w:fldChar w:fldCharType="separate"/>
            </w:r>
            <w:r>
              <w:rPr>
                <w:rFonts w:ascii="仿宋_GB2312" w:eastAsia="仿宋_GB2312" w:hAnsi="仿宋_GB2312" w:cs="仿宋_GB2312"/>
                <w:color w:val="000000" w:themeColor="text1"/>
                <w:spacing w:val="-6"/>
                <w:sz w:val="18"/>
                <w:szCs w:val="18"/>
              </w:rPr>
              <w:t>6</w:t>
            </w:r>
            <w:r>
              <w:rPr>
                <w:rFonts w:ascii="仿宋_GB2312" w:eastAsia="仿宋_GB2312" w:hAnsi="仿宋_GB2312" w:cs="仿宋_GB2312" w:hint="eastAsia"/>
                <w:color w:val="000000" w:themeColor="text1"/>
                <w:spacing w:val="-6"/>
                <w:sz w:val="18"/>
                <w:szCs w:val="18"/>
              </w:rPr>
              <w:fldChar w:fldCharType="end"/>
            </w:r>
          </w:p>
        </w:tc>
        <w:tc>
          <w:tcPr>
            <w:tcW w:w="966"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国家社科基金中华学术外译项目</w:t>
            </w:r>
          </w:p>
        </w:tc>
        <w:tc>
          <w:tcPr>
            <w:tcW w:w="1140"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1245"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全国教育科学规划教育部青年项目</w:t>
            </w:r>
          </w:p>
        </w:tc>
        <w:tc>
          <w:tcPr>
            <w:tcW w:w="1110"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教育部人文社科后期资助项目</w:t>
            </w:r>
          </w:p>
        </w:tc>
        <w:tc>
          <w:tcPr>
            <w:tcW w:w="727"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1162"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1013"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省哲学社科规划外语信息化专项</w:t>
            </w:r>
          </w:p>
        </w:tc>
        <w:tc>
          <w:tcPr>
            <w:tcW w:w="955"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960"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r>
      <w:tr w:rsidR="00E37845">
        <w:trPr>
          <w:trHeight w:val="794"/>
          <w:jc w:val="center"/>
        </w:trPr>
        <w:tc>
          <w:tcPr>
            <w:tcW w:w="648"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fldChar w:fldCharType="begin"/>
            </w:r>
            <w:r>
              <w:rPr>
                <w:rFonts w:ascii="仿宋_GB2312" w:eastAsia="仿宋_GB2312" w:hAnsi="仿宋_GB2312" w:cs="仿宋_GB2312"/>
                <w:color w:val="000000" w:themeColor="text1"/>
                <w:spacing w:val="-6"/>
                <w:sz w:val="18"/>
                <w:szCs w:val="18"/>
              </w:rPr>
              <w:instrText xml:space="preserve"> seq n/0# </w:instrText>
            </w:r>
            <w:r>
              <w:rPr>
                <w:rFonts w:ascii="仿宋_GB2312" w:eastAsia="仿宋_GB2312" w:hAnsi="仿宋_GB2312" w:cs="仿宋_GB2312" w:hint="eastAsia"/>
                <w:color w:val="000000" w:themeColor="text1"/>
                <w:spacing w:val="-6"/>
                <w:sz w:val="18"/>
                <w:szCs w:val="18"/>
              </w:rPr>
              <w:fldChar w:fldCharType="separate"/>
            </w:r>
            <w:r>
              <w:rPr>
                <w:rFonts w:ascii="仿宋_GB2312" w:eastAsia="仿宋_GB2312" w:hAnsi="仿宋_GB2312" w:cs="仿宋_GB2312"/>
                <w:color w:val="000000" w:themeColor="text1"/>
                <w:spacing w:val="-6"/>
                <w:sz w:val="18"/>
                <w:szCs w:val="18"/>
              </w:rPr>
              <w:t>7</w:t>
            </w:r>
            <w:r>
              <w:rPr>
                <w:rFonts w:ascii="仿宋_GB2312" w:eastAsia="仿宋_GB2312" w:hAnsi="仿宋_GB2312" w:cs="仿宋_GB2312" w:hint="eastAsia"/>
                <w:color w:val="000000" w:themeColor="text1"/>
                <w:spacing w:val="-6"/>
                <w:sz w:val="18"/>
                <w:szCs w:val="18"/>
              </w:rPr>
              <w:fldChar w:fldCharType="end"/>
            </w:r>
          </w:p>
        </w:tc>
        <w:tc>
          <w:tcPr>
            <w:tcW w:w="966"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国家社科基金专项委托项目</w:t>
            </w:r>
          </w:p>
        </w:tc>
        <w:tc>
          <w:tcPr>
            <w:tcW w:w="1140"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1245"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1110"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教育部人文社科重点研究基地项目</w:t>
            </w:r>
          </w:p>
        </w:tc>
        <w:tc>
          <w:tcPr>
            <w:tcW w:w="727"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1162"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1013"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省哲学社科规划外语学科专项</w:t>
            </w:r>
          </w:p>
        </w:tc>
        <w:tc>
          <w:tcPr>
            <w:tcW w:w="955"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960"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r>
      <w:tr w:rsidR="00E37845">
        <w:trPr>
          <w:trHeight w:val="794"/>
          <w:jc w:val="center"/>
        </w:trPr>
        <w:tc>
          <w:tcPr>
            <w:tcW w:w="648"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fldChar w:fldCharType="begin"/>
            </w:r>
            <w:r>
              <w:rPr>
                <w:rFonts w:ascii="仿宋_GB2312" w:eastAsia="仿宋_GB2312" w:hAnsi="仿宋_GB2312" w:cs="仿宋_GB2312"/>
                <w:color w:val="000000" w:themeColor="text1"/>
                <w:spacing w:val="-6"/>
                <w:sz w:val="18"/>
                <w:szCs w:val="18"/>
              </w:rPr>
              <w:instrText xml:space="preserve"> seq n/0# </w:instrText>
            </w:r>
            <w:r>
              <w:rPr>
                <w:rFonts w:ascii="仿宋_GB2312" w:eastAsia="仿宋_GB2312" w:hAnsi="仿宋_GB2312" w:cs="仿宋_GB2312" w:hint="eastAsia"/>
                <w:color w:val="000000" w:themeColor="text1"/>
                <w:spacing w:val="-6"/>
                <w:sz w:val="18"/>
                <w:szCs w:val="18"/>
              </w:rPr>
              <w:fldChar w:fldCharType="separate"/>
            </w:r>
            <w:r>
              <w:rPr>
                <w:rFonts w:ascii="仿宋_GB2312" w:eastAsia="仿宋_GB2312" w:hAnsi="仿宋_GB2312" w:cs="仿宋_GB2312"/>
                <w:color w:val="000000" w:themeColor="text1"/>
                <w:spacing w:val="-6"/>
                <w:sz w:val="18"/>
                <w:szCs w:val="18"/>
              </w:rPr>
              <w:t>8</w:t>
            </w:r>
            <w:r>
              <w:rPr>
                <w:rFonts w:ascii="仿宋_GB2312" w:eastAsia="仿宋_GB2312" w:hAnsi="仿宋_GB2312" w:cs="仿宋_GB2312" w:hint="eastAsia"/>
                <w:color w:val="000000" w:themeColor="text1"/>
                <w:spacing w:val="-6"/>
                <w:sz w:val="18"/>
                <w:szCs w:val="18"/>
              </w:rPr>
              <w:fldChar w:fldCharType="end"/>
            </w:r>
          </w:p>
        </w:tc>
        <w:tc>
          <w:tcPr>
            <w:tcW w:w="966"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1140"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1245"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1110"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727"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1162"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1013"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省哲学社科规划特别委托项目</w:t>
            </w:r>
          </w:p>
        </w:tc>
        <w:tc>
          <w:tcPr>
            <w:tcW w:w="955"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960"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r>
      <w:tr w:rsidR="00E37845">
        <w:trPr>
          <w:trHeight w:val="806"/>
          <w:jc w:val="center"/>
        </w:trPr>
        <w:tc>
          <w:tcPr>
            <w:tcW w:w="648"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fldChar w:fldCharType="begin"/>
            </w:r>
            <w:r>
              <w:rPr>
                <w:rFonts w:ascii="仿宋_GB2312" w:eastAsia="仿宋_GB2312" w:hAnsi="仿宋_GB2312" w:cs="仿宋_GB2312"/>
                <w:color w:val="000000" w:themeColor="text1"/>
                <w:spacing w:val="-6"/>
                <w:sz w:val="18"/>
                <w:szCs w:val="18"/>
              </w:rPr>
              <w:instrText xml:space="preserve"> seq n/0# </w:instrText>
            </w:r>
            <w:r>
              <w:rPr>
                <w:rFonts w:ascii="仿宋_GB2312" w:eastAsia="仿宋_GB2312" w:hAnsi="仿宋_GB2312" w:cs="仿宋_GB2312" w:hint="eastAsia"/>
                <w:color w:val="000000" w:themeColor="text1"/>
                <w:spacing w:val="-6"/>
                <w:sz w:val="18"/>
                <w:szCs w:val="18"/>
              </w:rPr>
              <w:fldChar w:fldCharType="separate"/>
            </w:r>
            <w:r>
              <w:rPr>
                <w:rFonts w:ascii="仿宋_GB2312" w:eastAsia="仿宋_GB2312" w:hAnsi="仿宋_GB2312" w:cs="仿宋_GB2312"/>
                <w:color w:val="000000" w:themeColor="text1"/>
                <w:spacing w:val="-6"/>
                <w:sz w:val="18"/>
                <w:szCs w:val="18"/>
              </w:rPr>
              <w:t>9</w:t>
            </w:r>
            <w:r>
              <w:rPr>
                <w:rFonts w:ascii="仿宋_GB2312" w:eastAsia="仿宋_GB2312" w:hAnsi="仿宋_GB2312" w:cs="仿宋_GB2312" w:hint="eastAsia"/>
                <w:color w:val="000000" w:themeColor="text1"/>
                <w:spacing w:val="-6"/>
                <w:sz w:val="18"/>
                <w:szCs w:val="18"/>
              </w:rPr>
              <w:fldChar w:fldCharType="end"/>
            </w:r>
          </w:p>
        </w:tc>
        <w:tc>
          <w:tcPr>
            <w:tcW w:w="966"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1140"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1245"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1110"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727"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1162"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1013"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r>
              <w:rPr>
                <w:rFonts w:ascii="仿宋_GB2312" w:eastAsia="仿宋_GB2312" w:hAnsi="仿宋_GB2312" w:cs="仿宋_GB2312" w:hint="eastAsia"/>
                <w:color w:val="000000" w:themeColor="text1"/>
                <w:spacing w:val="-6"/>
                <w:sz w:val="18"/>
                <w:szCs w:val="18"/>
              </w:rPr>
              <w:t>省哲学社科规划其它专项项目</w:t>
            </w:r>
          </w:p>
        </w:tc>
        <w:tc>
          <w:tcPr>
            <w:tcW w:w="955"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c>
          <w:tcPr>
            <w:tcW w:w="960"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pacing w:val="-6"/>
                <w:sz w:val="18"/>
                <w:szCs w:val="18"/>
              </w:rPr>
            </w:pPr>
          </w:p>
        </w:tc>
      </w:tr>
    </w:tbl>
    <w:p w:rsidR="00E37845" w:rsidRDefault="00E22BDD">
      <w:pPr>
        <w:jc w:val="left"/>
        <w:outlineLvl w:val="1"/>
        <w:rPr>
          <w:color w:val="000000" w:themeColor="text1"/>
        </w:rPr>
      </w:pPr>
      <w:bookmarkStart w:id="2102" w:name="_Toc14005"/>
      <w:r>
        <w:rPr>
          <w:color w:val="000000" w:themeColor="text1"/>
        </w:rPr>
        <w:br w:type="page"/>
      </w:r>
    </w:p>
    <w:p w:rsidR="00E37845" w:rsidRDefault="00E22BDD">
      <w:pPr>
        <w:pStyle w:val="2"/>
        <w:autoSpaceDE w:val="0"/>
        <w:autoSpaceDN w:val="0"/>
        <w:adjustRightInd w:val="0"/>
        <w:snapToGrid w:val="0"/>
        <w:spacing w:beforeLines="0" w:afterLines="0" w:line="288" w:lineRule="auto"/>
        <w:ind w:firstLineChars="166" w:firstLine="467"/>
        <w:jc w:val="left"/>
        <w:rPr>
          <w:rFonts w:ascii="黑体" w:eastAsia="黑体" w:hAnsi="黑体" w:cs="黑体"/>
          <w:color w:val="000000" w:themeColor="text1"/>
          <w:sz w:val="28"/>
          <w:szCs w:val="28"/>
        </w:rPr>
      </w:pPr>
      <w:bookmarkStart w:id="2103" w:name="_Toc20344"/>
      <w:bookmarkStart w:id="2104" w:name="_Toc8016"/>
      <w:bookmarkStart w:id="2105" w:name="_Toc1730"/>
      <w:bookmarkStart w:id="2106" w:name="_Toc6333"/>
      <w:bookmarkStart w:id="2107" w:name="_Toc17288"/>
      <w:bookmarkStart w:id="2108" w:name="_Toc9230"/>
      <w:bookmarkStart w:id="2109" w:name="_Toc27468"/>
      <w:bookmarkStart w:id="2110" w:name="_Toc7247"/>
      <w:bookmarkStart w:id="2111" w:name="_Toc15507"/>
      <w:bookmarkStart w:id="2112" w:name="_Toc29228"/>
      <w:bookmarkStart w:id="2113" w:name="_Toc16362"/>
      <w:bookmarkStart w:id="2114" w:name="_Toc22828"/>
      <w:bookmarkStart w:id="2115" w:name="_Toc32030"/>
      <w:bookmarkStart w:id="2116" w:name="_Toc29866"/>
      <w:bookmarkStart w:id="2117" w:name="_Toc14203"/>
      <w:bookmarkStart w:id="2118" w:name="_Toc519781001"/>
      <w:bookmarkStart w:id="2119" w:name="_Toc4149"/>
      <w:bookmarkStart w:id="2120" w:name="_Toc1918"/>
      <w:bookmarkStart w:id="2121" w:name="_Toc6607"/>
      <w:bookmarkStart w:id="2122" w:name="_Toc16060"/>
      <w:bookmarkStart w:id="2123" w:name="_Toc30391"/>
      <w:bookmarkStart w:id="2124" w:name="_Toc866"/>
      <w:bookmarkStart w:id="2125" w:name="_Toc445"/>
      <w:bookmarkStart w:id="2126" w:name="_Toc6981"/>
      <w:r>
        <w:rPr>
          <w:rFonts w:ascii="黑体" w:eastAsia="黑体" w:hAnsi="黑体" w:cs="黑体" w:hint="eastAsia"/>
          <w:color w:val="000000" w:themeColor="text1"/>
          <w:sz w:val="28"/>
          <w:szCs w:val="28"/>
        </w:rPr>
        <w:lastRenderedPageBreak/>
        <w:t>7.2社科类项目主要类别(表2)</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p>
    <w:tbl>
      <w:tblPr>
        <w:tblStyle w:val="af0"/>
        <w:tblW w:w="9360" w:type="dxa"/>
        <w:jc w:val="center"/>
        <w:tblLayout w:type="fixed"/>
        <w:tblLook w:val="04A0" w:firstRow="1" w:lastRow="0" w:firstColumn="1" w:lastColumn="0" w:noHBand="0" w:noVBand="1"/>
      </w:tblPr>
      <w:tblGrid>
        <w:gridCol w:w="665"/>
        <w:gridCol w:w="1169"/>
        <w:gridCol w:w="982"/>
        <w:gridCol w:w="970"/>
        <w:gridCol w:w="10"/>
        <w:gridCol w:w="825"/>
        <w:gridCol w:w="974"/>
        <w:gridCol w:w="938"/>
        <w:gridCol w:w="934"/>
        <w:gridCol w:w="8"/>
        <w:gridCol w:w="936"/>
        <w:gridCol w:w="949"/>
      </w:tblGrid>
      <w:tr w:rsidR="00E37845">
        <w:trPr>
          <w:trHeight w:val="385"/>
          <w:jc w:val="center"/>
        </w:trPr>
        <w:tc>
          <w:tcPr>
            <w:tcW w:w="665" w:type="dxa"/>
            <w:vMerge w:val="restart"/>
            <w:tcBorders>
              <w:tl2br w:val="single" w:sz="4" w:space="0" w:color="auto"/>
            </w:tcBorders>
            <w:vAlign w:val="center"/>
          </w:tcPr>
          <w:p w:rsidR="00E37845" w:rsidRDefault="00E22BDD">
            <w:pPr>
              <w:widowControl/>
              <w:adjustRightInd w:val="0"/>
              <w:snapToGrid w:val="0"/>
              <w:spacing w:line="360" w:lineRule="exact"/>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项目</w:t>
            </w:r>
          </w:p>
          <w:p w:rsidR="00E37845" w:rsidRDefault="00E37845">
            <w:pPr>
              <w:widowControl/>
              <w:adjustRightInd w:val="0"/>
              <w:snapToGrid w:val="0"/>
              <w:spacing w:line="360" w:lineRule="exact"/>
              <w:jc w:val="center"/>
              <w:rPr>
                <w:rFonts w:ascii="黑体" w:eastAsia="黑体" w:hAnsi="黑体" w:cs="黑体"/>
                <w:color w:val="000000" w:themeColor="text1"/>
                <w:sz w:val="18"/>
                <w:szCs w:val="18"/>
              </w:rPr>
            </w:pPr>
          </w:p>
          <w:p w:rsidR="00E37845" w:rsidRDefault="00E22BDD">
            <w:pPr>
              <w:widowControl/>
              <w:adjustRightInd w:val="0"/>
              <w:snapToGrid w:val="0"/>
              <w:spacing w:line="360" w:lineRule="exact"/>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序号</w:t>
            </w:r>
          </w:p>
        </w:tc>
        <w:tc>
          <w:tcPr>
            <w:tcW w:w="8695" w:type="dxa"/>
            <w:gridSpan w:val="11"/>
            <w:vAlign w:val="center"/>
          </w:tcPr>
          <w:p w:rsidR="00E37845" w:rsidRDefault="00E22BDD">
            <w:pPr>
              <w:widowControl/>
              <w:adjustRightInd w:val="0"/>
              <w:snapToGrid w:val="0"/>
              <w:spacing w:before="100" w:beforeAutospacing="1" w:after="100" w:afterAutospacing="1" w:line="220" w:lineRule="exact"/>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市厅局级社科项目</w:t>
            </w:r>
          </w:p>
        </w:tc>
      </w:tr>
      <w:tr w:rsidR="00E37845">
        <w:trPr>
          <w:trHeight w:val="897"/>
          <w:jc w:val="center"/>
        </w:trPr>
        <w:tc>
          <w:tcPr>
            <w:tcW w:w="665" w:type="dxa"/>
            <w:vMerge/>
            <w:tcBorders>
              <w:tl2br w:val="single" w:sz="4" w:space="0" w:color="auto"/>
            </w:tcBorders>
            <w:vAlign w:val="center"/>
          </w:tcPr>
          <w:p w:rsidR="00E37845" w:rsidRDefault="00E37845">
            <w:pPr>
              <w:widowControl/>
              <w:adjustRightInd w:val="0"/>
              <w:snapToGrid w:val="0"/>
              <w:spacing w:before="100" w:beforeAutospacing="1" w:after="100" w:afterAutospacing="1" w:line="220" w:lineRule="exact"/>
              <w:jc w:val="center"/>
              <w:rPr>
                <w:rFonts w:ascii="黑体" w:eastAsia="黑体" w:hAnsi="黑体" w:cs="黑体"/>
                <w:color w:val="000000" w:themeColor="text1"/>
                <w:sz w:val="18"/>
                <w:szCs w:val="18"/>
              </w:rPr>
            </w:pPr>
          </w:p>
        </w:tc>
        <w:tc>
          <w:tcPr>
            <w:tcW w:w="1169" w:type="dxa"/>
            <w:vAlign w:val="center"/>
          </w:tcPr>
          <w:p w:rsidR="00E37845" w:rsidRDefault="00E22BDD">
            <w:pPr>
              <w:widowControl/>
              <w:adjustRightInd w:val="0"/>
              <w:snapToGrid w:val="0"/>
              <w:spacing w:before="100" w:beforeAutospacing="1" w:after="100" w:afterAutospacing="1" w:line="220" w:lineRule="exact"/>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市社科规划办项目</w:t>
            </w:r>
          </w:p>
        </w:tc>
        <w:tc>
          <w:tcPr>
            <w:tcW w:w="982" w:type="dxa"/>
            <w:vAlign w:val="center"/>
          </w:tcPr>
          <w:p w:rsidR="00E37845" w:rsidRDefault="00E22BDD">
            <w:pPr>
              <w:widowControl/>
              <w:adjustRightInd w:val="0"/>
              <w:snapToGrid w:val="0"/>
              <w:spacing w:before="100" w:beforeAutospacing="1" w:after="100" w:afterAutospacing="1" w:line="220" w:lineRule="exact"/>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市委宣传部项目</w:t>
            </w:r>
          </w:p>
        </w:tc>
        <w:tc>
          <w:tcPr>
            <w:tcW w:w="970" w:type="dxa"/>
            <w:vAlign w:val="center"/>
          </w:tcPr>
          <w:p w:rsidR="00E37845" w:rsidRDefault="00E22BDD">
            <w:pPr>
              <w:widowControl/>
              <w:adjustRightInd w:val="0"/>
              <w:snapToGrid w:val="0"/>
              <w:spacing w:before="100" w:beforeAutospacing="1" w:after="100" w:afterAutospacing="1" w:line="220" w:lineRule="exact"/>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市人民政府研究室项目</w:t>
            </w:r>
          </w:p>
        </w:tc>
        <w:tc>
          <w:tcPr>
            <w:tcW w:w="835" w:type="dxa"/>
            <w:gridSpan w:val="2"/>
            <w:vAlign w:val="center"/>
          </w:tcPr>
          <w:p w:rsidR="00E37845" w:rsidRDefault="00E22BDD">
            <w:pPr>
              <w:widowControl/>
              <w:adjustRightInd w:val="0"/>
              <w:snapToGrid w:val="0"/>
              <w:spacing w:before="100" w:beforeAutospacing="1" w:after="100" w:afterAutospacing="1" w:line="220" w:lineRule="exact"/>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省教育厅(3个)</w:t>
            </w:r>
          </w:p>
        </w:tc>
        <w:tc>
          <w:tcPr>
            <w:tcW w:w="974" w:type="dxa"/>
            <w:vAlign w:val="center"/>
          </w:tcPr>
          <w:p w:rsidR="00E37845" w:rsidRDefault="00E22BDD">
            <w:pPr>
              <w:widowControl/>
              <w:adjustRightInd w:val="0"/>
              <w:snapToGrid w:val="0"/>
              <w:spacing w:before="100" w:beforeAutospacing="1" w:after="100" w:afterAutospacing="1" w:line="220" w:lineRule="exact"/>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省教育厅(1个)</w:t>
            </w:r>
          </w:p>
        </w:tc>
        <w:tc>
          <w:tcPr>
            <w:tcW w:w="938" w:type="dxa"/>
            <w:vAlign w:val="center"/>
          </w:tcPr>
          <w:p w:rsidR="00E37845" w:rsidRDefault="00E22BDD">
            <w:pPr>
              <w:widowControl/>
              <w:adjustRightInd w:val="0"/>
              <w:snapToGrid w:val="0"/>
              <w:spacing w:before="100" w:beforeAutospacing="1" w:after="100" w:afterAutospacing="1" w:line="220" w:lineRule="exact"/>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市社科联项目</w:t>
            </w:r>
          </w:p>
        </w:tc>
        <w:tc>
          <w:tcPr>
            <w:tcW w:w="942" w:type="dxa"/>
            <w:gridSpan w:val="2"/>
            <w:vAlign w:val="center"/>
          </w:tcPr>
          <w:p w:rsidR="00E37845" w:rsidRDefault="00E22BDD">
            <w:pPr>
              <w:widowControl/>
              <w:adjustRightInd w:val="0"/>
              <w:snapToGrid w:val="0"/>
              <w:spacing w:before="100" w:beforeAutospacing="1" w:after="100" w:afterAutospacing="1" w:line="220" w:lineRule="exact"/>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市教育局项目</w:t>
            </w:r>
          </w:p>
        </w:tc>
        <w:tc>
          <w:tcPr>
            <w:tcW w:w="936" w:type="dxa"/>
            <w:vAlign w:val="center"/>
          </w:tcPr>
          <w:p w:rsidR="00E37845" w:rsidRDefault="00E22BDD">
            <w:pPr>
              <w:widowControl/>
              <w:adjustRightInd w:val="0"/>
              <w:snapToGrid w:val="0"/>
              <w:spacing w:before="100" w:beforeAutospacing="1" w:after="100" w:afterAutospacing="1" w:line="220" w:lineRule="exact"/>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其他市厅局部门项目</w:t>
            </w:r>
          </w:p>
        </w:tc>
        <w:tc>
          <w:tcPr>
            <w:tcW w:w="949" w:type="dxa"/>
            <w:vAlign w:val="center"/>
          </w:tcPr>
          <w:p w:rsidR="00E37845" w:rsidRDefault="00E22BDD">
            <w:pPr>
              <w:widowControl/>
              <w:adjustRightInd w:val="0"/>
              <w:snapToGrid w:val="0"/>
              <w:spacing w:before="100" w:beforeAutospacing="1" w:after="100" w:afterAutospacing="1" w:line="220" w:lineRule="exact"/>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纵向其他项目</w:t>
            </w:r>
          </w:p>
        </w:tc>
      </w:tr>
      <w:tr w:rsidR="00E37845">
        <w:trPr>
          <w:trHeight w:val="1355"/>
          <w:jc w:val="center"/>
        </w:trPr>
        <w:tc>
          <w:tcPr>
            <w:tcW w:w="665"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联系方式</w:t>
            </w:r>
          </w:p>
        </w:tc>
        <w:tc>
          <w:tcPr>
            <w:tcW w:w="3131" w:type="dxa"/>
            <w:gridSpan w:val="4"/>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冯冬梅</w:t>
            </w:r>
            <w:r>
              <w:rPr>
                <w:rFonts w:ascii="仿宋_GB2312" w:eastAsia="仿宋_GB2312" w:hAnsi="仿宋_GB2312" w:cs="仿宋_GB2312"/>
                <w:color w:val="000000" w:themeColor="text1"/>
                <w:sz w:val="18"/>
                <w:szCs w:val="18"/>
              </w:rPr>
              <w:t xml:space="preserve"> TEL：39366191</w:t>
            </w:r>
          </w:p>
        </w:tc>
        <w:tc>
          <w:tcPr>
            <w:tcW w:w="825"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张宏华</w:t>
            </w:r>
            <w:r>
              <w:rPr>
                <w:rFonts w:ascii="仿宋_GB2312" w:eastAsia="仿宋_GB2312" w:hAnsi="仿宋_GB2312" w:cs="仿宋_GB2312"/>
                <w:color w:val="000000" w:themeColor="text1"/>
                <w:sz w:val="18"/>
                <w:szCs w:val="18"/>
              </w:rPr>
              <w:t xml:space="preserve"> TEL：39366266</w:t>
            </w:r>
          </w:p>
        </w:tc>
        <w:tc>
          <w:tcPr>
            <w:tcW w:w="974"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李星蕾</w:t>
            </w:r>
            <w:r>
              <w:rPr>
                <w:rFonts w:ascii="仿宋_GB2312" w:eastAsia="仿宋_GB2312" w:hAnsi="仿宋_GB2312" w:cs="仿宋_GB2312"/>
                <w:color w:val="000000" w:themeColor="text1"/>
                <w:sz w:val="18"/>
                <w:szCs w:val="18"/>
              </w:rPr>
              <w:t xml:space="preserve"> TEL：39366191</w:t>
            </w:r>
          </w:p>
        </w:tc>
        <w:tc>
          <w:tcPr>
            <w:tcW w:w="1880" w:type="dxa"/>
            <w:gridSpan w:val="3"/>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张宏华</w:t>
            </w:r>
            <w:r>
              <w:rPr>
                <w:rFonts w:ascii="仿宋_GB2312" w:eastAsia="仿宋_GB2312" w:hAnsi="仿宋_GB2312" w:cs="仿宋_GB2312"/>
                <w:color w:val="000000" w:themeColor="text1"/>
                <w:sz w:val="18"/>
                <w:szCs w:val="18"/>
              </w:rPr>
              <w:t xml:space="preserve"> TEL：39366266</w:t>
            </w:r>
          </w:p>
        </w:tc>
        <w:tc>
          <w:tcPr>
            <w:tcW w:w="936"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张宏华</w:t>
            </w:r>
            <w:r>
              <w:rPr>
                <w:rFonts w:ascii="仿宋_GB2312" w:eastAsia="仿宋_GB2312" w:hAnsi="仿宋_GB2312" w:cs="仿宋_GB2312"/>
                <w:color w:val="000000" w:themeColor="text1"/>
                <w:sz w:val="18"/>
                <w:szCs w:val="18"/>
              </w:rPr>
              <w:t xml:space="preserve"> TEL：39366266，冯冬梅 TEL：39366191</w:t>
            </w:r>
          </w:p>
        </w:tc>
        <w:tc>
          <w:tcPr>
            <w:tcW w:w="949"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张宏华</w:t>
            </w:r>
            <w:r>
              <w:rPr>
                <w:rFonts w:ascii="仿宋_GB2312" w:eastAsia="仿宋_GB2312" w:hAnsi="仿宋_GB2312" w:cs="仿宋_GB2312"/>
                <w:color w:val="000000" w:themeColor="text1"/>
                <w:sz w:val="18"/>
                <w:szCs w:val="18"/>
              </w:rPr>
              <w:t xml:space="preserve"> TEL：39366266</w:t>
            </w:r>
          </w:p>
        </w:tc>
      </w:tr>
      <w:tr w:rsidR="00E37845">
        <w:trPr>
          <w:trHeight w:val="1579"/>
          <w:jc w:val="center"/>
        </w:trPr>
        <w:tc>
          <w:tcPr>
            <w:tcW w:w="665"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fldChar w:fldCharType="begin"/>
            </w:r>
            <w:r>
              <w:rPr>
                <w:rFonts w:ascii="仿宋_GB2312" w:eastAsia="仿宋_GB2312" w:hAnsi="仿宋_GB2312" w:cs="仿宋_GB2312"/>
                <w:color w:val="000000" w:themeColor="text1"/>
                <w:sz w:val="18"/>
                <w:szCs w:val="18"/>
              </w:rPr>
              <w:instrText xml:space="preserve"> seq n/0# </w:instrText>
            </w:r>
            <w:r>
              <w:rPr>
                <w:rFonts w:ascii="仿宋_GB2312" w:eastAsia="仿宋_GB2312" w:hAnsi="仿宋_GB2312" w:cs="仿宋_GB2312" w:hint="eastAsia"/>
                <w:color w:val="000000" w:themeColor="text1"/>
                <w:sz w:val="18"/>
                <w:szCs w:val="18"/>
              </w:rPr>
              <w:fldChar w:fldCharType="separate"/>
            </w:r>
            <w:r>
              <w:rPr>
                <w:rFonts w:ascii="仿宋_GB2312" w:eastAsia="仿宋_GB2312" w:hAnsi="仿宋_GB2312" w:cs="仿宋_GB2312"/>
                <w:color w:val="000000" w:themeColor="text1"/>
                <w:sz w:val="18"/>
                <w:szCs w:val="18"/>
              </w:rPr>
              <w:t>1</w:t>
            </w:r>
            <w:r>
              <w:rPr>
                <w:rFonts w:ascii="仿宋_GB2312" w:eastAsia="仿宋_GB2312" w:hAnsi="仿宋_GB2312" w:cs="仿宋_GB2312" w:hint="eastAsia"/>
                <w:color w:val="000000" w:themeColor="text1"/>
                <w:sz w:val="18"/>
                <w:szCs w:val="18"/>
              </w:rPr>
              <w:fldChar w:fldCharType="end"/>
            </w:r>
          </w:p>
        </w:tc>
        <w:tc>
          <w:tcPr>
            <w:tcW w:w="1169"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市社科规划一般项目</w:t>
            </w:r>
          </w:p>
        </w:tc>
        <w:tc>
          <w:tcPr>
            <w:tcW w:w="982"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广州大典与广州历史文化研究重点项目</w:t>
            </w:r>
          </w:p>
        </w:tc>
        <w:tc>
          <w:tcPr>
            <w:tcW w:w="970"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市政府决策咨询课题</w:t>
            </w:r>
          </w:p>
        </w:tc>
        <w:tc>
          <w:tcPr>
            <w:tcW w:w="835" w:type="dxa"/>
            <w:gridSpan w:val="2"/>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省教育厅德育专项项目</w:t>
            </w:r>
          </w:p>
        </w:tc>
        <w:tc>
          <w:tcPr>
            <w:tcW w:w="974"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省教育厅创新强校项目</w:t>
            </w:r>
          </w:p>
        </w:tc>
        <w:tc>
          <w:tcPr>
            <w:tcW w:w="938"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广州市社科研究招标课题</w:t>
            </w:r>
          </w:p>
        </w:tc>
        <w:tc>
          <w:tcPr>
            <w:tcW w:w="934"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市教育科学规划重大项目</w:t>
            </w:r>
          </w:p>
        </w:tc>
        <w:tc>
          <w:tcPr>
            <w:tcW w:w="944" w:type="dxa"/>
            <w:gridSpan w:val="2"/>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其他市厅局级政府科研主管部门发布的公开竞争的科研项目</w:t>
            </w:r>
          </w:p>
        </w:tc>
        <w:tc>
          <w:tcPr>
            <w:tcW w:w="949"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各级学会等非政府科研主管部门发布的公开竞争的科研项目</w:t>
            </w:r>
          </w:p>
        </w:tc>
      </w:tr>
      <w:tr w:rsidR="00E37845">
        <w:trPr>
          <w:trHeight w:val="1355"/>
          <w:jc w:val="center"/>
        </w:trPr>
        <w:tc>
          <w:tcPr>
            <w:tcW w:w="665"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fldChar w:fldCharType="begin"/>
            </w:r>
            <w:r>
              <w:rPr>
                <w:rFonts w:ascii="仿宋_GB2312" w:eastAsia="仿宋_GB2312" w:hAnsi="仿宋_GB2312" w:cs="仿宋_GB2312"/>
                <w:color w:val="000000" w:themeColor="text1"/>
                <w:sz w:val="18"/>
                <w:szCs w:val="18"/>
              </w:rPr>
              <w:instrText xml:space="preserve"> seq n/0# </w:instrText>
            </w:r>
            <w:r>
              <w:rPr>
                <w:rFonts w:ascii="仿宋_GB2312" w:eastAsia="仿宋_GB2312" w:hAnsi="仿宋_GB2312" w:cs="仿宋_GB2312" w:hint="eastAsia"/>
                <w:color w:val="000000" w:themeColor="text1"/>
                <w:sz w:val="18"/>
                <w:szCs w:val="18"/>
              </w:rPr>
              <w:fldChar w:fldCharType="separate"/>
            </w:r>
            <w:r>
              <w:rPr>
                <w:rFonts w:ascii="仿宋_GB2312" w:eastAsia="仿宋_GB2312" w:hAnsi="仿宋_GB2312" w:cs="仿宋_GB2312"/>
                <w:color w:val="000000" w:themeColor="text1"/>
                <w:sz w:val="18"/>
                <w:szCs w:val="18"/>
              </w:rPr>
              <w:t>2</w:t>
            </w:r>
            <w:r>
              <w:rPr>
                <w:rFonts w:ascii="仿宋_GB2312" w:eastAsia="仿宋_GB2312" w:hAnsi="仿宋_GB2312" w:cs="仿宋_GB2312" w:hint="eastAsia"/>
                <w:color w:val="000000" w:themeColor="text1"/>
                <w:sz w:val="18"/>
                <w:szCs w:val="18"/>
              </w:rPr>
              <w:fldChar w:fldCharType="end"/>
            </w:r>
          </w:p>
        </w:tc>
        <w:tc>
          <w:tcPr>
            <w:tcW w:w="1169"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市社科规划青年项目</w:t>
            </w:r>
          </w:p>
        </w:tc>
        <w:tc>
          <w:tcPr>
            <w:tcW w:w="982"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广州大典与广州历史文化研究一般项目</w:t>
            </w:r>
          </w:p>
        </w:tc>
        <w:tc>
          <w:tcPr>
            <w:tcW w:w="970"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835" w:type="dxa"/>
            <w:gridSpan w:val="2"/>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省教育科学项目</w:t>
            </w:r>
          </w:p>
        </w:tc>
        <w:tc>
          <w:tcPr>
            <w:tcW w:w="974"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38"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市羊城学人项目</w:t>
            </w:r>
          </w:p>
        </w:tc>
        <w:tc>
          <w:tcPr>
            <w:tcW w:w="934"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市教育科学规划重点项目</w:t>
            </w:r>
          </w:p>
        </w:tc>
        <w:tc>
          <w:tcPr>
            <w:tcW w:w="944" w:type="dxa"/>
            <w:gridSpan w:val="2"/>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49"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r>
      <w:tr w:rsidR="00E37845">
        <w:trPr>
          <w:trHeight w:val="1130"/>
          <w:jc w:val="center"/>
        </w:trPr>
        <w:tc>
          <w:tcPr>
            <w:tcW w:w="665"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fldChar w:fldCharType="begin"/>
            </w:r>
            <w:r>
              <w:rPr>
                <w:rFonts w:ascii="仿宋_GB2312" w:eastAsia="仿宋_GB2312" w:hAnsi="仿宋_GB2312" w:cs="仿宋_GB2312"/>
                <w:color w:val="000000" w:themeColor="text1"/>
                <w:sz w:val="18"/>
                <w:szCs w:val="18"/>
              </w:rPr>
              <w:instrText xml:space="preserve"> seq n/0# </w:instrText>
            </w:r>
            <w:r>
              <w:rPr>
                <w:rFonts w:ascii="仿宋_GB2312" w:eastAsia="仿宋_GB2312" w:hAnsi="仿宋_GB2312" w:cs="仿宋_GB2312" w:hint="eastAsia"/>
                <w:color w:val="000000" w:themeColor="text1"/>
                <w:sz w:val="18"/>
                <w:szCs w:val="18"/>
              </w:rPr>
              <w:fldChar w:fldCharType="separate"/>
            </w:r>
            <w:r>
              <w:rPr>
                <w:rFonts w:ascii="仿宋_GB2312" w:eastAsia="仿宋_GB2312" w:hAnsi="仿宋_GB2312" w:cs="仿宋_GB2312"/>
                <w:color w:val="000000" w:themeColor="text1"/>
                <w:sz w:val="18"/>
                <w:szCs w:val="18"/>
              </w:rPr>
              <w:t>3</w:t>
            </w:r>
            <w:r>
              <w:rPr>
                <w:rFonts w:ascii="仿宋_GB2312" w:eastAsia="仿宋_GB2312" w:hAnsi="仿宋_GB2312" w:cs="仿宋_GB2312" w:hint="eastAsia"/>
                <w:color w:val="000000" w:themeColor="text1"/>
                <w:sz w:val="18"/>
                <w:szCs w:val="18"/>
              </w:rPr>
              <w:fldChar w:fldCharType="end"/>
            </w:r>
          </w:p>
        </w:tc>
        <w:tc>
          <w:tcPr>
            <w:tcW w:w="1169"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市社科规划学科共建项目</w:t>
            </w:r>
          </w:p>
        </w:tc>
        <w:tc>
          <w:tcPr>
            <w:tcW w:w="982"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市委宣传部委托项目</w:t>
            </w:r>
          </w:p>
        </w:tc>
        <w:tc>
          <w:tcPr>
            <w:tcW w:w="970"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835" w:type="dxa"/>
            <w:gridSpan w:val="2"/>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省教育厅其他类项目</w:t>
            </w:r>
          </w:p>
        </w:tc>
        <w:tc>
          <w:tcPr>
            <w:tcW w:w="974"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38"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34"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市教育科学规划一般项目</w:t>
            </w:r>
          </w:p>
        </w:tc>
        <w:tc>
          <w:tcPr>
            <w:tcW w:w="944" w:type="dxa"/>
            <w:gridSpan w:val="2"/>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49"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r>
      <w:tr w:rsidR="00E37845">
        <w:trPr>
          <w:trHeight w:val="906"/>
          <w:jc w:val="center"/>
        </w:trPr>
        <w:tc>
          <w:tcPr>
            <w:tcW w:w="665"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fldChar w:fldCharType="begin"/>
            </w:r>
            <w:r>
              <w:rPr>
                <w:rFonts w:ascii="仿宋_GB2312" w:eastAsia="仿宋_GB2312" w:hAnsi="仿宋_GB2312" w:cs="仿宋_GB2312"/>
                <w:color w:val="000000" w:themeColor="text1"/>
                <w:sz w:val="18"/>
                <w:szCs w:val="18"/>
              </w:rPr>
              <w:instrText xml:space="preserve"> seq n/0# </w:instrText>
            </w:r>
            <w:r>
              <w:rPr>
                <w:rFonts w:ascii="仿宋_GB2312" w:eastAsia="仿宋_GB2312" w:hAnsi="仿宋_GB2312" w:cs="仿宋_GB2312" w:hint="eastAsia"/>
                <w:color w:val="000000" w:themeColor="text1"/>
                <w:sz w:val="18"/>
                <w:szCs w:val="18"/>
              </w:rPr>
              <w:fldChar w:fldCharType="separate"/>
            </w:r>
            <w:r>
              <w:rPr>
                <w:rFonts w:ascii="仿宋_GB2312" w:eastAsia="仿宋_GB2312" w:hAnsi="仿宋_GB2312" w:cs="仿宋_GB2312"/>
                <w:color w:val="000000" w:themeColor="text1"/>
                <w:sz w:val="18"/>
                <w:szCs w:val="18"/>
              </w:rPr>
              <w:t>4</w:t>
            </w:r>
            <w:r>
              <w:rPr>
                <w:rFonts w:ascii="仿宋_GB2312" w:eastAsia="仿宋_GB2312" w:hAnsi="仿宋_GB2312" w:cs="仿宋_GB2312" w:hint="eastAsia"/>
                <w:color w:val="000000" w:themeColor="text1"/>
                <w:sz w:val="18"/>
                <w:szCs w:val="18"/>
              </w:rPr>
              <w:fldChar w:fldCharType="end"/>
            </w:r>
          </w:p>
        </w:tc>
        <w:tc>
          <w:tcPr>
            <w:tcW w:w="1169"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市社科规划马克思主义专项一般项目</w:t>
            </w:r>
          </w:p>
        </w:tc>
        <w:tc>
          <w:tcPr>
            <w:tcW w:w="982"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70"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835" w:type="dxa"/>
            <w:gridSpan w:val="2"/>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74"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38"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34"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市教育科学规划青年项目</w:t>
            </w:r>
          </w:p>
        </w:tc>
        <w:tc>
          <w:tcPr>
            <w:tcW w:w="944" w:type="dxa"/>
            <w:gridSpan w:val="2"/>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49"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r>
      <w:tr w:rsidR="00E37845">
        <w:trPr>
          <w:trHeight w:val="906"/>
          <w:jc w:val="center"/>
        </w:trPr>
        <w:tc>
          <w:tcPr>
            <w:tcW w:w="665"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fldChar w:fldCharType="begin"/>
            </w:r>
            <w:r>
              <w:rPr>
                <w:rFonts w:ascii="仿宋_GB2312" w:eastAsia="仿宋_GB2312" w:hAnsi="仿宋_GB2312" w:cs="仿宋_GB2312"/>
                <w:color w:val="000000" w:themeColor="text1"/>
                <w:sz w:val="18"/>
                <w:szCs w:val="18"/>
              </w:rPr>
              <w:instrText xml:space="preserve"> seq n/0# </w:instrText>
            </w:r>
            <w:r>
              <w:rPr>
                <w:rFonts w:ascii="仿宋_GB2312" w:eastAsia="仿宋_GB2312" w:hAnsi="仿宋_GB2312" w:cs="仿宋_GB2312" w:hint="eastAsia"/>
                <w:color w:val="000000" w:themeColor="text1"/>
                <w:sz w:val="18"/>
                <w:szCs w:val="18"/>
              </w:rPr>
              <w:fldChar w:fldCharType="separate"/>
            </w:r>
            <w:r>
              <w:rPr>
                <w:rFonts w:ascii="仿宋_GB2312" w:eastAsia="仿宋_GB2312" w:hAnsi="仿宋_GB2312" w:cs="仿宋_GB2312"/>
                <w:color w:val="000000" w:themeColor="text1"/>
                <w:sz w:val="18"/>
                <w:szCs w:val="18"/>
              </w:rPr>
              <w:t>5</w:t>
            </w:r>
            <w:r>
              <w:rPr>
                <w:rFonts w:ascii="仿宋_GB2312" w:eastAsia="仿宋_GB2312" w:hAnsi="仿宋_GB2312" w:cs="仿宋_GB2312" w:hint="eastAsia"/>
                <w:color w:val="000000" w:themeColor="text1"/>
                <w:sz w:val="18"/>
                <w:szCs w:val="18"/>
              </w:rPr>
              <w:fldChar w:fldCharType="end"/>
            </w:r>
          </w:p>
        </w:tc>
        <w:tc>
          <w:tcPr>
            <w:tcW w:w="1169"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市社科规划马克思主义专项青年项目</w:t>
            </w:r>
          </w:p>
        </w:tc>
        <w:tc>
          <w:tcPr>
            <w:tcW w:w="982"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70"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835" w:type="dxa"/>
            <w:gridSpan w:val="2"/>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74"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38"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34"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市高校社科类重点项目</w:t>
            </w:r>
          </w:p>
        </w:tc>
        <w:tc>
          <w:tcPr>
            <w:tcW w:w="944" w:type="dxa"/>
            <w:gridSpan w:val="2"/>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49"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r>
      <w:tr w:rsidR="00E37845">
        <w:trPr>
          <w:trHeight w:val="906"/>
          <w:jc w:val="center"/>
        </w:trPr>
        <w:tc>
          <w:tcPr>
            <w:tcW w:w="665"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fldChar w:fldCharType="begin"/>
            </w:r>
            <w:r>
              <w:rPr>
                <w:rFonts w:ascii="仿宋_GB2312" w:eastAsia="仿宋_GB2312" w:hAnsi="仿宋_GB2312" w:cs="仿宋_GB2312"/>
                <w:color w:val="000000" w:themeColor="text1"/>
                <w:sz w:val="18"/>
                <w:szCs w:val="18"/>
              </w:rPr>
              <w:instrText xml:space="preserve"> seq n/0# </w:instrText>
            </w:r>
            <w:r>
              <w:rPr>
                <w:rFonts w:ascii="仿宋_GB2312" w:eastAsia="仿宋_GB2312" w:hAnsi="仿宋_GB2312" w:cs="仿宋_GB2312" w:hint="eastAsia"/>
                <w:color w:val="000000" w:themeColor="text1"/>
                <w:sz w:val="18"/>
                <w:szCs w:val="18"/>
              </w:rPr>
              <w:fldChar w:fldCharType="separate"/>
            </w:r>
            <w:r>
              <w:rPr>
                <w:rFonts w:ascii="仿宋_GB2312" w:eastAsia="仿宋_GB2312" w:hAnsi="仿宋_GB2312" w:cs="仿宋_GB2312"/>
                <w:color w:val="000000" w:themeColor="text1"/>
                <w:sz w:val="18"/>
                <w:szCs w:val="18"/>
              </w:rPr>
              <w:t>6</w:t>
            </w:r>
            <w:r>
              <w:rPr>
                <w:rFonts w:ascii="仿宋_GB2312" w:eastAsia="仿宋_GB2312" w:hAnsi="仿宋_GB2312" w:cs="仿宋_GB2312" w:hint="eastAsia"/>
                <w:color w:val="000000" w:themeColor="text1"/>
                <w:sz w:val="18"/>
                <w:szCs w:val="18"/>
              </w:rPr>
              <w:fldChar w:fldCharType="end"/>
            </w:r>
          </w:p>
        </w:tc>
        <w:tc>
          <w:tcPr>
            <w:tcW w:w="1169"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市社科规划马克思主义专项共建项目</w:t>
            </w:r>
          </w:p>
        </w:tc>
        <w:tc>
          <w:tcPr>
            <w:tcW w:w="982"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70"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835" w:type="dxa"/>
            <w:gridSpan w:val="2"/>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74"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38"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34"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市高校社科类面上项目</w:t>
            </w:r>
          </w:p>
        </w:tc>
        <w:tc>
          <w:tcPr>
            <w:tcW w:w="944" w:type="dxa"/>
            <w:gridSpan w:val="2"/>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49"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r>
      <w:tr w:rsidR="00E37845">
        <w:trPr>
          <w:trHeight w:val="906"/>
          <w:jc w:val="center"/>
        </w:trPr>
        <w:tc>
          <w:tcPr>
            <w:tcW w:w="665"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fldChar w:fldCharType="begin"/>
            </w:r>
            <w:r>
              <w:rPr>
                <w:rFonts w:ascii="仿宋_GB2312" w:eastAsia="仿宋_GB2312" w:hAnsi="仿宋_GB2312" w:cs="仿宋_GB2312"/>
                <w:color w:val="000000" w:themeColor="text1"/>
                <w:sz w:val="18"/>
                <w:szCs w:val="18"/>
              </w:rPr>
              <w:instrText xml:space="preserve"> seq n/0# </w:instrText>
            </w:r>
            <w:r>
              <w:rPr>
                <w:rFonts w:ascii="仿宋_GB2312" w:eastAsia="仿宋_GB2312" w:hAnsi="仿宋_GB2312" w:cs="仿宋_GB2312" w:hint="eastAsia"/>
                <w:color w:val="000000" w:themeColor="text1"/>
                <w:sz w:val="18"/>
                <w:szCs w:val="18"/>
              </w:rPr>
              <w:fldChar w:fldCharType="separate"/>
            </w:r>
            <w:r>
              <w:rPr>
                <w:rFonts w:ascii="仿宋_GB2312" w:eastAsia="仿宋_GB2312" w:hAnsi="仿宋_GB2312" w:cs="仿宋_GB2312"/>
                <w:color w:val="000000" w:themeColor="text1"/>
                <w:sz w:val="18"/>
                <w:szCs w:val="18"/>
              </w:rPr>
              <w:t>7</w:t>
            </w:r>
            <w:r>
              <w:rPr>
                <w:rFonts w:ascii="仿宋_GB2312" w:eastAsia="仿宋_GB2312" w:hAnsi="仿宋_GB2312" w:cs="仿宋_GB2312" w:hint="eastAsia"/>
                <w:color w:val="000000" w:themeColor="text1"/>
                <w:sz w:val="18"/>
                <w:szCs w:val="18"/>
              </w:rPr>
              <w:fldChar w:fldCharType="end"/>
            </w:r>
          </w:p>
        </w:tc>
        <w:tc>
          <w:tcPr>
            <w:tcW w:w="1169"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市社科规划智库项目</w:t>
            </w:r>
          </w:p>
        </w:tc>
        <w:tc>
          <w:tcPr>
            <w:tcW w:w="982"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70"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835" w:type="dxa"/>
            <w:gridSpan w:val="2"/>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74"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38"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34"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市高校社科类青年项目</w:t>
            </w:r>
          </w:p>
        </w:tc>
        <w:tc>
          <w:tcPr>
            <w:tcW w:w="944" w:type="dxa"/>
            <w:gridSpan w:val="2"/>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49"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r>
      <w:tr w:rsidR="00E37845">
        <w:trPr>
          <w:trHeight w:val="682"/>
          <w:jc w:val="center"/>
        </w:trPr>
        <w:tc>
          <w:tcPr>
            <w:tcW w:w="665"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fldChar w:fldCharType="begin"/>
            </w:r>
            <w:r>
              <w:rPr>
                <w:rFonts w:ascii="仿宋_GB2312" w:eastAsia="仿宋_GB2312" w:hAnsi="仿宋_GB2312" w:cs="仿宋_GB2312"/>
                <w:color w:val="000000" w:themeColor="text1"/>
                <w:sz w:val="18"/>
                <w:szCs w:val="18"/>
              </w:rPr>
              <w:instrText xml:space="preserve"> seq n/0# </w:instrText>
            </w:r>
            <w:r>
              <w:rPr>
                <w:rFonts w:ascii="仿宋_GB2312" w:eastAsia="仿宋_GB2312" w:hAnsi="仿宋_GB2312" w:cs="仿宋_GB2312" w:hint="eastAsia"/>
                <w:color w:val="000000" w:themeColor="text1"/>
                <w:sz w:val="18"/>
                <w:szCs w:val="18"/>
              </w:rPr>
              <w:fldChar w:fldCharType="separate"/>
            </w:r>
            <w:r>
              <w:rPr>
                <w:rFonts w:ascii="仿宋_GB2312" w:eastAsia="仿宋_GB2312" w:hAnsi="仿宋_GB2312" w:cs="仿宋_GB2312"/>
                <w:color w:val="000000" w:themeColor="text1"/>
                <w:sz w:val="18"/>
                <w:szCs w:val="18"/>
              </w:rPr>
              <w:t>8</w:t>
            </w:r>
            <w:r>
              <w:rPr>
                <w:rFonts w:ascii="仿宋_GB2312" w:eastAsia="仿宋_GB2312" w:hAnsi="仿宋_GB2312" w:cs="仿宋_GB2312" w:hint="eastAsia"/>
                <w:color w:val="000000" w:themeColor="text1"/>
                <w:sz w:val="18"/>
                <w:szCs w:val="18"/>
              </w:rPr>
              <w:fldChar w:fldCharType="end"/>
            </w:r>
          </w:p>
        </w:tc>
        <w:tc>
          <w:tcPr>
            <w:tcW w:w="1169"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市社科规划其它专项项目</w:t>
            </w:r>
          </w:p>
        </w:tc>
        <w:tc>
          <w:tcPr>
            <w:tcW w:w="982"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70"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835" w:type="dxa"/>
            <w:gridSpan w:val="2"/>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74"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38"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34"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市羊城学者项目</w:t>
            </w:r>
          </w:p>
        </w:tc>
        <w:tc>
          <w:tcPr>
            <w:tcW w:w="944" w:type="dxa"/>
            <w:gridSpan w:val="2"/>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49"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r>
      <w:tr w:rsidR="00E37845">
        <w:trPr>
          <w:trHeight w:val="692"/>
          <w:jc w:val="center"/>
        </w:trPr>
        <w:tc>
          <w:tcPr>
            <w:tcW w:w="665"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fldChar w:fldCharType="begin"/>
            </w:r>
            <w:r>
              <w:rPr>
                <w:rFonts w:ascii="仿宋_GB2312" w:eastAsia="仿宋_GB2312" w:hAnsi="仿宋_GB2312" w:cs="仿宋_GB2312"/>
                <w:color w:val="000000" w:themeColor="text1"/>
                <w:sz w:val="18"/>
                <w:szCs w:val="18"/>
              </w:rPr>
              <w:instrText xml:space="preserve"> seq n/0# </w:instrText>
            </w:r>
            <w:r>
              <w:rPr>
                <w:rFonts w:ascii="仿宋_GB2312" w:eastAsia="仿宋_GB2312" w:hAnsi="仿宋_GB2312" w:cs="仿宋_GB2312" w:hint="eastAsia"/>
                <w:color w:val="000000" w:themeColor="text1"/>
                <w:sz w:val="18"/>
                <w:szCs w:val="18"/>
              </w:rPr>
              <w:fldChar w:fldCharType="separate"/>
            </w:r>
            <w:r>
              <w:rPr>
                <w:rFonts w:ascii="仿宋_GB2312" w:eastAsia="仿宋_GB2312" w:hAnsi="仿宋_GB2312" w:cs="仿宋_GB2312"/>
                <w:color w:val="000000" w:themeColor="text1"/>
                <w:sz w:val="18"/>
                <w:szCs w:val="18"/>
              </w:rPr>
              <w:t>9</w:t>
            </w:r>
            <w:r>
              <w:rPr>
                <w:rFonts w:ascii="仿宋_GB2312" w:eastAsia="仿宋_GB2312" w:hAnsi="仿宋_GB2312" w:cs="仿宋_GB2312" w:hint="eastAsia"/>
                <w:color w:val="000000" w:themeColor="text1"/>
                <w:sz w:val="18"/>
                <w:szCs w:val="18"/>
              </w:rPr>
              <w:fldChar w:fldCharType="end"/>
            </w:r>
          </w:p>
        </w:tc>
        <w:tc>
          <w:tcPr>
            <w:tcW w:w="1169"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82"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70"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835" w:type="dxa"/>
            <w:gridSpan w:val="2"/>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74"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38"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34" w:type="dxa"/>
            <w:vAlign w:val="center"/>
          </w:tcPr>
          <w:p w:rsidR="00E37845" w:rsidRDefault="00E22BDD">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市教育局其他类项目</w:t>
            </w:r>
          </w:p>
        </w:tc>
        <w:tc>
          <w:tcPr>
            <w:tcW w:w="944" w:type="dxa"/>
            <w:gridSpan w:val="2"/>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c>
          <w:tcPr>
            <w:tcW w:w="949" w:type="dxa"/>
            <w:vAlign w:val="center"/>
          </w:tcPr>
          <w:p w:rsidR="00E37845" w:rsidRDefault="00E37845">
            <w:pPr>
              <w:widowControl/>
              <w:spacing w:before="100" w:beforeAutospacing="1" w:after="100" w:afterAutospacing="1" w:line="220" w:lineRule="exact"/>
              <w:jc w:val="center"/>
              <w:rPr>
                <w:rFonts w:ascii="仿宋_GB2312" w:eastAsia="仿宋_GB2312" w:hAnsi="仿宋_GB2312" w:cs="仿宋_GB2312"/>
                <w:color w:val="000000" w:themeColor="text1"/>
                <w:sz w:val="18"/>
                <w:szCs w:val="18"/>
              </w:rPr>
            </w:pPr>
          </w:p>
        </w:tc>
      </w:tr>
      <w:bookmarkEnd w:id="2062"/>
      <w:bookmarkEnd w:id="2063"/>
      <w:bookmarkEnd w:id="2064"/>
      <w:bookmarkEnd w:id="2065"/>
    </w:tbl>
    <w:p w:rsidR="00E37845" w:rsidRDefault="00E37845">
      <w:pPr>
        <w:rPr>
          <w:color w:val="000000" w:themeColor="text1"/>
          <w:sz w:val="24"/>
        </w:rPr>
      </w:pPr>
    </w:p>
    <w:p w:rsidR="00E37845" w:rsidRDefault="00E22BDD">
      <w:pPr>
        <w:pStyle w:val="2"/>
        <w:autoSpaceDE w:val="0"/>
        <w:autoSpaceDN w:val="0"/>
        <w:adjustRightInd w:val="0"/>
        <w:snapToGrid w:val="0"/>
        <w:spacing w:beforeLines="0" w:afterLines="0" w:line="288" w:lineRule="auto"/>
        <w:ind w:firstLineChars="166" w:firstLine="467"/>
        <w:jc w:val="left"/>
        <w:rPr>
          <w:rFonts w:ascii="黑体" w:eastAsia="黑体" w:hAnsi="黑体" w:cs="黑体"/>
          <w:color w:val="000000" w:themeColor="text1"/>
          <w:sz w:val="28"/>
          <w:szCs w:val="28"/>
        </w:rPr>
      </w:pPr>
      <w:bookmarkStart w:id="2127" w:name="_Toc9446"/>
      <w:bookmarkStart w:id="2128" w:name="_Toc496"/>
      <w:bookmarkStart w:id="2129" w:name="_Toc5783"/>
      <w:bookmarkStart w:id="2130" w:name="_Toc828"/>
      <w:bookmarkStart w:id="2131" w:name="_Toc32688"/>
      <w:bookmarkStart w:id="2132" w:name="_Toc8434"/>
      <w:bookmarkStart w:id="2133" w:name="_Toc4636"/>
      <w:bookmarkStart w:id="2134" w:name="_Toc29062"/>
      <w:bookmarkStart w:id="2135" w:name="_Toc27058"/>
      <w:bookmarkStart w:id="2136" w:name="_Toc8143"/>
      <w:bookmarkStart w:id="2137" w:name="_Toc24808"/>
      <w:bookmarkStart w:id="2138" w:name="_Toc519781002"/>
      <w:bookmarkStart w:id="2139" w:name="_Toc18811"/>
      <w:bookmarkStart w:id="2140" w:name="_Toc7066"/>
      <w:bookmarkStart w:id="2141" w:name="_Toc25316"/>
      <w:bookmarkStart w:id="2142" w:name="_Toc3245"/>
      <w:bookmarkStart w:id="2143" w:name="_Toc14087"/>
      <w:bookmarkStart w:id="2144" w:name="_Toc23608"/>
      <w:bookmarkStart w:id="2145" w:name="_Toc9754"/>
      <w:bookmarkStart w:id="2146" w:name="_Toc12640"/>
      <w:bookmarkStart w:id="2147" w:name="_Toc13098"/>
      <w:bookmarkStart w:id="2148" w:name="_Toc17761"/>
      <w:bookmarkStart w:id="2149" w:name="_Toc4566"/>
      <w:bookmarkStart w:id="2150" w:name="_Toc23541"/>
      <w:bookmarkStart w:id="2151" w:name="_Toc1588"/>
      <w:bookmarkStart w:id="2152" w:name="_Toc15177"/>
      <w:r>
        <w:rPr>
          <w:rFonts w:ascii="黑体" w:eastAsia="黑体" w:hAnsi="黑体" w:cs="黑体" w:hint="eastAsia"/>
          <w:color w:val="000000" w:themeColor="text1"/>
          <w:sz w:val="28"/>
          <w:szCs w:val="28"/>
        </w:rPr>
        <w:t>7.3科研项目工作流程</w:t>
      </w:r>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各类科研项目的工作流程（申报阶段、实施阶段和结项阶段）等相关情况，详见校科研处网站：</w:t>
      </w:r>
      <w:hyperlink r:id="rId23" w:history="1">
        <w:r>
          <w:rPr>
            <w:rStyle w:val="15"/>
            <w:rFonts w:ascii="Times New Roman" w:eastAsia="仿宋_GB2312" w:hAnsi="Times New Roman" w:cs="Times New Roman"/>
            <w:color w:val="000000" w:themeColor="text1"/>
          </w:rPr>
          <w:t>http://kyc.gzhu.edu.cn/</w:t>
        </w:r>
      </w:hyperlink>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153" w:name="_Toc14565"/>
      <w:bookmarkStart w:id="2154" w:name="_Toc30607"/>
      <w:bookmarkStart w:id="2155" w:name="_Toc29967"/>
      <w:bookmarkStart w:id="2156" w:name="_Toc24392"/>
      <w:bookmarkStart w:id="2157" w:name="_Toc14267"/>
      <w:bookmarkStart w:id="2158" w:name="_Toc16147"/>
      <w:bookmarkStart w:id="2159" w:name="_Toc21445"/>
      <w:bookmarkStart w:id="2160" w:name="_Toc21064"/>
      <w:bookmarkStart w:id="2161" w:name="_Toc25701"/>
      <w:bookmarkStart w:id="2162" w:name="_Toc5144"/>
      <w:bookmarkStart w:id="2163" w:name="_Toc31048"/>
      <w:bookmarkStart w:id="2164" w:name="_Toc519781003"/>
      <w:bookmarkStart w:id="2165" w:name="_Toc30174"/>
      <w:bookmarkStart w:id="2166" w:name="_Toc29663"/>
      <w:bookmarkStart w:id="2167" w:name="_Toc18000"/>
      <w:bookmarkStart w:id="2168" w:name="_Toc618"/>
      <w:bookmarkStart w:id="2169" w:name="_Toc8044"/>
      <w:bookmarkStart w:id="2170" w:name="_Toc8020"/>
      <w:bookmarkStart w:id="2171" w:name="_Toc24467"/>
      <w:bookmarkStart w:id="2172" w:name="_Toc17268"/>
      <w:bookmarkStart w:id="2173" w:name="_Toc2954"/>
      <w:bookmarkStart w:id="2174" w:name="_Toc17485"/>
      <w:bookmarkStart w:id="2175" w:name="_Toc19999"/>
      <w:bookmarkStart w:id="2176" w:name="_Toc7799"/>
      <w:bookmarkStart w:id="2177" w:name="_Toc7661"/>
      <w:bookmarkStart w:id="2178" w:name="_Toc1913"/>
      <w:r>
        <w:rPr>
          <w:rFonts w:ascii="黑体" w:eastAsia="黑体" w:hAnsi="黑体" w:cs="黑体" w:hint="eastAsia"/>
          <w:color w:val="000000" w:themeColor="text1"/>
          <w:sz w:val="28"/>
          <w:szCs w:val="28"/>
        </w:rPr>
        <w:lastRenderedPageBreak/>
        <w:t>7.4科研项目和经费管理</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p>
    <w:p w:rsidR="00E37845" w:rsidRDefault="00E22BDD">
      <w:pPr>
        <w:pStyle w:val="ListParagraph1"/>
        <w:numPr>
          <w:ilvl w:val="255"/>
          <w:numId w:val="0"/>
        </w:numPr>
        <w:adjustRightInd w:val="0"/>
        <w:snapToGrid w:val="0"/>
        <w:spacing w:line="360" w:lineRule="auto"/>
        <w:ind w:firstLine="480"/>
        <w:jc w:val="left"/>
        <w:rPr>
          <w:rFonts w:ascii="仿宋_GB2312" w:eastAsia="仿宋_GB2312" w:hAnsi="仿宋_GB2312" w:cs="仿宋_GB2312"/>
          <w:b/>
          <w:bCs/>
          <w:color w:val="000000" w:themeColor="text1"/>
        </w:rPr>
      </w:pPr>
      <w:bookmarkStart w:id="2179" w:name="_Toc20572"/>
      <w:bookmarkStart w:id="2180" w:name="_Toc12317"/>
      <w:bookmarkStart w:id="2181" w:name="_Toc32489"/>
      <w:bookmarkStart w:id="2182" w:name="_Toc30056"/>
      <w:bookmarkStart w:id="2183" w:name="_Toc20501"/>
      <w:bookmarkStart w:id="2184" w:name="_Toc18364"/>
      <w:r>
        <w:rPr>
          <w:rFonts w:ascii="黑体" w:eastAsia="黑体" w:hAnsi="黑体" w:cs="黑体" w:hint="eastAsia"/>
          <w:b/>
          <w:bCs/>
          <w:color w:val="000000" w:themeColor="text1"/>
        </w:rPr>
        <w:t>一、纵向科研项目管理办法</w:t>
      </w:r>
      <w:bookmarkEnd w:id="2179"/>
      <w:bookmarkEnd w:id="2180"/>
      <w:bookmarkEnd w:id="2181"/>
      <w:bookmarkEnd w:id="2182"/>
      <w:bookmarkEnd w:id="2183"/>
      <w:bookmarkEnd w:id="2184"/>
      <w:r>
        <w:rPr>
          <w:rFonts w:ascii="黑体" w:eastAsia="黑体" w:hAnsi="黑体" w:cs="黑体" w:hint="eastAsia"/>
          <w:b/>
          <w:bCs/>
          <w:color w:val="000000" w:themeColor="text1"/>
        </w:rPr>
        <w:t>（详见（广大〔2017 〕339号）</w:t>
      </w:r>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纵向科研项目（以下称“项目”）是指经过政府部门或相关专门机构统一组织申报、招标或委托等，经费性质属于中央或地方财政资金，在一定时限内进行的科学研究活动。根据项目主管部门的级别，分为国家级、省部级、市厅局级、校级及纵向其他。</w:t>
      </w:r>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（一）</w:t>
      </w:r>
      <w:r>
        <w:rPr>
          <w:rFonts w:ascii="仿宋_GB2312" w:eastAsia="仿宋_GB2312" w:hAnsi="仿宋_GB2312" w:cs="仿宋_GB2312"/>
          <w:color w:val="000000" w:themeColor="text1"/>
        </w:rPr>
        <w:t>学校是科研项目管理的责任主体，学校法定代表人对全校科研项目管理负总责，分管科研工作的学校领导对全校科研项目管理负直接领导责任。科研管理部门是全校科研项目的主管部门，财务管理部门、审计部门、实验室与设备管理部门、监察部门等相关部门及项目负责人所在学院(科研机构)，共同做好科研项目的监督和管理，并共同承担相应的管理责任。</w:t>
      </w:r>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（二）</w:t>
      </w:r>
      <w:r>
        <w:rPr>
          <w:rFonts w:ascii="仿宋_GB2312" w:eastAsia="仿宋_GB2312" w:hAnsi="仿宋_GB2312" w:cs="仿宋_GB2312"/>
          <w:color w:val="000000" w:themeColor="text1"/>
        </w:rPr>
        <w:t>科研项目实行项目负责人负责制。项目负责人应按照科研项目任务书（合同）的要求认真履行科研任务、出高质量科研成果并按时提交项目报告材料。科研项目应自觉接受有关部门的管理和监督，应严格使用项目经费，并对科研项目经费使用的真实性、合法性和有效性承担直接的经济与法律责任。</w:t>
      </w:r>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（三）</w:t>
      </w:r>
      <w:r>
        <w:rPr>
          <w:rFonts w:ascii="仿宋_GB2312" w:eastAsia="仿宋_GB2312" w:hAnsi="仿宋_GB2312" w:cs="仿宋_GB2312"/>
          <w:color w:val="000000" w:themeColor="text1"/>
        </w:rPr>
        <w:t>项目因主客观原因无法正常执行计划，由科研管理部门会同项目负责人所在学院按项目主管部门的有关规定及时进行协调和调整。因主观原因导致项目未能按时完成或因任务完成质量较差而造成不良影响的，学校将根据有关管理办法对项目负责人或所在学院进行相应处罚。</w:t>
      </w:r>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（四</w:t>
      </w:r>
      <w:r>
        <w:rPr>
          <w:rFonts w:ascii="仿宋_GB2312" w:eastAsia="仿宋_GB2312" w:hAnsi="仿宋_GB2312" w:cs="仿宋_GB2312"/>
          <w:color w:val="000000" w:themeColor="text1"/>
        </w:rPr>
        <w:t>）项目研究所取得的科研成果，其知识产权归学校所有；项目合同中另有约定者，按合同约定执行；科研人员不得以任何方式隐匿、私自转让、非法占有或谋取私利。</w:t>
      </w:r>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（五</w:t>
      </w:r>
      <w:r>
        <w:rPr>
          <w:rFonts w:ascii="仿宋_GB2312" w:eastAsia="仿宋_GB2312" w:hAnsi="仿宋_GB2312" w:cs="仿宋_GB2312"/>
          <w:color w:val="000000" w:themeColor="text1"/>
        </w:rPr>
        <w:t>）为使项目成果的知识产权及时获得保护，在发表论文、成果展览、产品演示及成果鉴定等方式公开技术之前，项目组应采取专利申请或计算机软件版权登记等保护措施。</w:t>
      </w:r>
    </w:p>
    <w:p w:rsidR="00E37845" w:rsidRDefault="00E22BDD">
      <w:pPr>
        <w:pStyle w:val="ListParagraph1"/>
        <w:adjustRightInd w:val="0"/>
        <w:snapToGrid w:val="0"/>
        <w:spacing w:line="360" w:lineRule="auto"/>
        <w:ind w:firstLine="482"/>
        <w:jc w:val="left"/>
        <w:rPr>
          <w:rFonts w:ascii="黑体" w:eastAsia="黑体" w:hAnsi="黑体" w:cs="黑体"/>
          <w:b/>
          <w:bCs/>
          <w:color w:val="000000" w:themeColor="text1"/>
        </w:rPr>
      </w:pPr>
      <w:bookmarkStart w:id="2185" w:name="_Toc30681"/>
      <w:bookmarkStart w:id="2186" w:name="_Toc1413"/>
      <w:bookmarkStart w:id="2187" w:name="_Toc2945"/>
      <w:bookmarkStart w:id="2188" w:name="_Toc23492"/>
      <w:bookmarkStart w:id="2189" w:name="_Toc8624"/>
      <w:bookmarkStart w:id="2190" w:name="_Toc29930"/>
      <w:r>
        <w:rPr>
          <w:rFonts w:ascii="黑体" w:eastAsia="黑体" w:hAnsi="黑体" w:cs="黑体" w:hint="eastAsia"/>
          <w:b/>
          <w:bCs/>
          <w:color w:val="000000" w:themeColor="text1"/>
        </w:rPr>
        <w:t>二、横向科研项目管理办法</w:t>
      </w:r>
      <w:bookmarkEnd w:id="2185"/>
      <w:bookmarkEnd w:id="2186"/>
      <w:bookmarkEnd w:id="2187"/>
      <w:bookmarkEnd w:id="2188"/>
      <w:bookmarkEnd w:id="2189"/>
      <w:bookmarkEnd w:id="2190"/>
      <w:r>
        <w:rPr>
          <w:rFonts w:ascii="黑体" w:eastAsia="黑体" w:hAnsi="黑体" w:cs="黑体" w:hint="eastAsia"/>
          <w:b/>
          <w:bCs/>
          <w:color w:val="000000" w:themeColor="text1"/>
        </w:rPr>
        <w:t>（详见广大〔2017〕338号）</w:t>
      </w:r>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横向科研项目是由我校教师、科研人员接受企事业单位、民营非事业单位法人、国际机构或境外其他合法组织、个人等委托（含招标）的决策咨询、专业技术咨询、技术服务、技术转让、合作开发等科研项目，科研项目的经费来源为非财政性资金。</w:t>
      </w:r>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根据《广州大学科研经费管理办法》（广大〔</w:t>
      </w:r>
      <w:r>
        <w:rPr>
          <w:rFonts w:ascii="仿宋_GB2312" w:eastAsia="仿宋_GB2312" w:hAnsi="仿宋_GB2312" w:cs="仿宋_GB2312"/>
          <w:color w:val="000000" w:themeColor="text1"/>
        </w:rPr>
        <w:t>2017〕155号）横向社科项目应提取项目管理费4%和资源占用费2%，横向科技项目应提取项目管理费5%和资源占用费4%。</w:t>
      </w:r>
      <w:r>
        <w:rPr>
          <w:rFonts w:ascii="仿宋_GB2312" w:eastAsia="仿宋_GB2312" w:hAnsi="仿宋_GB2312" w:cs="仿宋_GB2312"/>
          <w:color w:val="000000" w:themeColor="text1"/>
        </w:rPr>
        <w:lastRenderedPageBreak/>
        <w:t>根据《广州大学创收管理办法》（广大〔2017〕183号）科技成果转化类的横向科研项目，学校提取管理费8%，项目负责人所在单位提取单位发展基金2%。</w:t>
      </w:r>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管理费之外的合同经费，主要用于：</w:t>
      </w:r>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（一）</w:t>
      </w:r>
      <w:r>
        <w:rPr>
          <w:rFonts w:ascii="仿宋_GB2312" w:eastAsia="仿宋_GB2312" w:hAnsi="仿宋_GB2312" w:cs="仿宋_GB2312"/>
          <w:color w:val="000000" w:themeColor="text1"/>
        </w:rPr>
        <w:t>科研业务费：包括资料费、材料费、国内外调研费、文具费、小型仪器设备费、通讯费、小型会议费、专家咨询（评审）费等。</w:t>
      </w:r>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（二）</w:t>
      </w:r>
      <w:r>
        <w:rPr>
          <w:rFonts w:ascii="仿宋_GB2312" w:eastAsia="仿宋_GB2312" w:hAnsi="仿宋_GB2312" w:cs="仿宋_GB2312"/>
          <w:color w:val="000000" w:themeColor="text1"/>
        </w:rPr>
        <w:t>人力资源费：横向科研项目人力资源费用的列支比例按照合同约定，无约定的原则上不超过项目到账经费总额的70%，基础研究、社会科学研究项目、软科学研究项目和软件开发类项目人力资源费用列支比例不得超过项目到账经费总额的80%。</w:t>
      </w:r>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人力资源费包括劳务费、人员费以及科研人员的绩效支出，其中绩效支出根据科研人员的实际贡献由项目负责人统筹安排，纳入单位奖励性绩效单列管理，但不计入单位绩效工资总量调控基数。按经费到位情况，每笔到账经费首次申请发放绩效需由项目负责人填写《广州大学横向科研项目绩效支出发放申请表》、《横向科研项目经费预算表》经二级单位主管领导审批后报科研处审核。每笔经费首次绩效发放以后的绩效申领由项目负责人持申请表复印件到财务处直接办理。</w:t>
      </w:r>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（三）</w:t>
      </w:r>
      <w:r>
        <w:rPr>
          <w:rFonts w:ascii="仿宋_GB2312" w:eastAsia="仿宋_GB2312" w:hAnsi="仿宋_GB2312" w:cs="仿宋_GB2312"/>
          <w:color w:val="000000" w:themeColor="text1"/>
        </w:rPr>
        <w:t>工程材料及设备费：工程材料是指与项目有关的工程材料、试样、配件等；工程设备是指必须安装在相关项目工程中的设备，这些设备须在项目合同中列示，学校不提取管理费，也不纳入学校的固定资产管理。</w:t>
      </w:r>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（四）</w:t>
      </w:r>
      <w:r>
        <w:rPr>
          <w:rFonts w:ascii="仿宋_GB2312" w:eastAsia="仿宋_GB2312" w:hAnsi="仿宋_GB2312" w:cs="仿宋_GB2312"/>
          <w:color w:val="000000" w:themeColor="text1"/>
        </w:rPr>
        <w:t>其他与该横向科研项目有关的费用。</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191" w:name="_Toc30324"/>
      <w:bookmarkStart w:id="2192" w:name="_Toc4189"/>
      <w:bookmarkStart w:id="2193" w:name="_Toc6570"/>
      <w:bookmarkStart w:id="2194" w:name="_Toc11761"/>
      <w:bookmarkStart w:id="2195" w:name="_Toc21645"/>
      <w:bookmarkStart w:id="2196" w:name="_Toc1078"/>
      <w:bookmarkStart w:id="2197" w:name="_Toc13708"/>
      <w:bookmarkStart w:id="2198" w:name="_Toc9049"/>
      <w:bookmarkStart w:id="2199" w:name="_Toc31821"/>
      <w:bookmarkStart w:id="2200" w:name="_Toc13291"/>
      <w:bookmarkStart w:id="2201" w:name="_Toc5582"/>
      <w:bookmarkStart w:id="2202" w:name="_Toc786"/>
      <w:bookmarkStart w:id="2203" w:name="_Toc4366"/>
      <w:bookmarkStart w:id="2204" w:name="_Toc8622"/>
      <w:bookmarkStart w:id="2205" w:name="_Toc13960"/>
      <w:bookmarkStart w:id="2206" w:name="_Toc22880"/>
      <w:bookmarkStart w:id="2207" w:name="_Toc21483"/>
      <w:bookmarkStart w:id="2208" w:name="_Toc8197"/>
      <w:bookmarkStart w:id="2209" w:name="_Toc519781004"/>
      <w:bookmarkStart w:id="2210" w:name="_Toc22972"/>
      <w:bookmarkStart w:id="2211" w:name="_Toc15230"/>
      <w:bookmarkStart w:id="2212" w:name="_Toc23721"/>
      <w:bookmarkStart w:id="2213" w:name="_Toc20131"/>
      <w:bookmarkStart w:id="2214" w:name="_Toc14662"/>
      <w:bookmarkStart w:id="2215" w:name="_Toc16685"/>
      <w:bookmarkStart w:id="2216" w:name="_Toc3230"/>
      <w:r>
        <w:rPr>
          <w:rFonts w:ascii="黑体" w:eastAsia="黑体" w:hAnsi="黑体" w:cs="黑体" w:hint="eastAsia"/>
          <w:color w:val="000000" w:themeColor="text1"/>
          <w:sz w:val="28"/>
          <w:szCs w:val="28"/>
        </w:rPr>
        <w:t>7.4.3科研经费管理办法</w:t>
      </w:r>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r>
        <w:rPr>
          <w:rFonts w:ascii="黑体" w:eastAsia="黑体" w:hAnsi="黑体" w:cs="黑体" w:hint="eastAsia"/>
          <w:color w:val="000000" w:themeColor="text1"/>
          <w:sz w:val="28"/>
          <w:szCs w:val="28"/>
        </w:rPr>
        <w:t>（详见广大〔2017〕155号）</w:t>
      </w:r>
      <w:bookmarkEnd w:id="2210"/>
      <w:bookmarkEnd w:id="2211"/>
      <w:bookmarkEnd w:id="2212"/>
      <w:bookmarkEnd w:id="2213"/>
      <w:bookmarkEnd w:id="2214"/>
      <w:bookmarkEnd w:id="2215"/>
      <w:bookmarkEnd w:id="2216"/>
    </w:p>
    <w:p w:rsidR="00E37845" w:rsidRDefault="001B499F">
      <w:pPr>
        <w:pStyle w:val="ListParagraph1"/>
        <w:numPr>
          <w:ilvl w:val="255"/>
          <w:numId w:val="0"/>
        </w:numPr>
        <w:adjustRightInd w:val="0"/>
        <w:snapToGrid w:val="0"/>
        <w:spacing w:beforeLines="50" w:before="156" w:afterLines="50" w:after="156" w:line="360" w:lineRule="auto"/>
        <w:ind w:firstLine="482"/>
        <w:jc w:val="left"/>
      </w:pPr>
      <w:r>
        <w:pict>
          <v:rect id="矩形 1" o:spid="_x0000_s1216" style="position:absolute;left:0;text-align:left;margin-left:0;margin-top:26.5pt;width:429.75pt;height:71.25pt;z-index:251694592;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" filled="f" strokecolor="#203864" strokeweight="2pt">
            <v:textbox>
              <w:txbxContent>
                <w:p w:rsidR="00E37845" w:rsidRDefault="00E22BDD">
                  <w:pPr>
                    <w:rPr>
                      <w:color w:val="000000" w:themeColor="text1"/>
                      <w:sz w:val="18"/>
                      <w:szCs w:val="18"/>
                    </w:rPr>
                  </w:pPr>
                  <w:r>
                    <w:rPr>
                      <w:rFonts w:hint="eastAsia"/>
                      <w:color w:val="000000" w:themeColor="text1"/>
                      <w:sz w:val="18"/>
                      <w:szCs w:val="18"/>
                    </w:rPr>
                    <w:t>科研项目经费入账需各项目负责人提交项目立项合同（任务书）、经费预算表、经费限额控制表等相关资料到科研管理部门。</w:t>
                  </w:r>
                </w:p>
                <w:p w:rsidR="00E37845" w:rsidRDefault="00E22BDD">
                  <w:pPr>
                    <w:rPr>
                      <w:color w:val="000000" w:themeColor="text1"/>
                      <w:sz w:val="18"/>
                      <w:szCs w:val="18"/>
                    </w:rPr>
                  </w:pPr>
                  <w:r>
                    <w:rPr>
                      <w:rFonts w:hint="eastAsia"/>
                      <w:color w:val="000000" w:themeColor="text1"/>
                      <w:sz w:val="18"/>
                      <w:szCs w:val="18"/>
                    </w:rPr>
                    <w:t>学校科研管理部门负责统一办理批量到账的科研项目经费入账手续，项目组负责办理单个科研项目经费入账手续。</w:t>
                  </w:r>
                </w:p>
                <w:p w:rsidR="00E37845" w:rsidRDefault="00E37845">
                  <w:pPr>
                    <w:rPr>
                      <w:color w:val="000000" w:themeColor="text1"/>
                      <w:sz w:val="18"/>
                      <w:szCs w:val="18"/>
                    </w:rPr>
                  </w:pPr>
                </w:p>
                <w:p w:rsidR="00E37845" w:rsidRDefault="00E37845">
                  <w:pPr>
                    <w:rPr>
                      <w:sz w:val="18"/>
                      <w:szCs w:val="18"/>
                    </w:rPr>
                  </w:pPr>
                </w:p>
              </w:txbxContent>
            </v:textbox>
          </v:rect>
        </w:pict>
      </w:r>
      <w:r w:rsidR="00E22BDD">
        <w:rPr>
          <w:rFonts w:ascii="黑体" w:eastAsia="黑体" w:hAnsi="黑体" w:cs="黑体" w:hint="eastAsia"/>
          <w:b/>
          <w:bCs/>
          <w:color w:val="000000" w:themeColor="text1"/>
        </w:rPr>
        <w:t>一、收入管理</w:t>
      </w:r>
    </w:p>
    <w:p w:rsidR="00E37845" w:rsidRDefault="00E37845"/>
    <w:p w:rsidR="00E37845" w:rsidRDefault="00E37845">
      <w:pPr>
        <w:pStyle w:val="ListParagraph1"/>
        <w:numPr>
          <w:ilvl w:val="255"/>
          <w:numId w:val="0"/>
        </w:numPr>
        <w:adjustRightInd w:val="0"/>
        <w:snapToGrid w:val="0"/>
        <w:spacing w:beforeLines="50" w:before="156" w:afterLines="50" w:after="156" w:line="360" w:lineRule="auto"/>
        <w:ind w:firstLine="482"/>
        <w:jc w:val="left"/>
      </w:pPr>
    </w:p>
    <w:p w:rsidR="00E37845" w:rsidRDefault="001B499F">
      <w:pPr>
        <w:pStyle w:val="ListParagraph1"/>
        <w:ind w:firstLine="480"/>
      </w:pPr>
      <w:r>
        <w:pict>
          <v:group id="_x0000_s1218" style="position:absolute;left:0;text-align:left;margin-left:.75pt;margin-top:14.95pt;width:426.4pt;height:103.35pt;z-index:251695616" coordorigin="190,7888" coordsize="85,32">
            <v:rect id="矩形 6" o:spid="_x0000_s1212" style="position:absolute;left:190;top:7913;width:86;height:7;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" filled="f" strokecolor="#203864" strokeweight="2pt">
              <v:textbox>
                <w:txbxContent>
                  <w:p w:rsidR="00E37845" w:rsidRDefault="00E22BDD">
                    <w:pPr>
                      <w:jc w:val="left"/>
                      <w:rPr>
                        <w:color w:val="000000" w:themeColor="text1"/>
                        <w:sz w:val="18"/>
                        <w:szCs w:val="18"/>
                      </w:rPr>
                    </w:pPr>
                    <w:r>
                      <w:rPr>
                        <w:rFonts w:hint="eastAsia"/>
                        <w:color w:val="000000" w:themeColor="text1"/>
                        <w:sz w:val="18"/>
                        <w:szCs w:val="18"/>
                      </w:rPr>
                      <w:t>财务部门审核相关材料，完成科研项目经费入账手续。</w:t>
                    </w:r>
                  </w:p>
                </w:txbxContent>
              </v:textbox>
            </v:rect>
            <v:shapetype id="_x0000_t32" coordsize="21600,21600" o:spt="32" o:oned="t" path="m,l21600,21600e" filled="f">
              <v:path arrowok="t" fillok="f" o:connecttype="none"/>
              <o:lock v:ext="edit" shapetype="t"/>
            </v:shapetype>
            <v:shape id="直接箭头连接符 5" o:spid="_x0000_s1213" type="#_x0000_t32" style="position:absolute;left:233;top:7905;width:0;height: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" strokecolor="#3c6bbf" strokeweight="3pt">
              <v:stroke endarrow="open"/>
            </v:shape>
            <v:rect id="矩形 4" o:spid="_x0000_s1214" style="position:absolute;left:190;top:7896;width:86;height:9;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" filled="f" strokecolor="#203864" strokeweight="2pt">
              <v:textbox>
                <w:txbxContent>
                  <w:p w:rsidR="00E37845" w:rsidRDefault="00E22BDD">
                    <w:pPr>
                      <w:jc w:val="left"/>
                      <w:rPr>
                        <w:color w:val="000000" w:themeColor="text1"/>
                        <w:sz w:val="18"/>
                        <w:szCs w:val="18"/>
                      </w:rPr>
                    </w:pPr>
                    <w:r>
                      <w:rPr>
                        <w:rFonts w:hint="eastAsia"/>
                        <w:color w:val="000000" w:themeColor="text1"/>
                        <w:sz w:val="18"/>
                        <w:szCs w:val="18"/>
                      </w:rPr>
                      <w:t>科研管理部门或项目组向财务部门提交科研项目经费分成单、经费限额控制表、经费预算表等资料。</w:t>
                    </w:r>
                  </w:p>
                  <w:p w:rsidR="00E37845" w:rsidRDefault="00E37845">
                    <w:pPr>
                      <w:jc w:val="center"/>
                      <w:rPr>
                        <w:color w:val="000000" w:themeColor="text1"/>
                        <w:sz w:val="18"/>
                        <w:szCs w:val="18"/>
                      </w:rPr>
                    </w:pPr>
                  </w:p>
                  <w:p w:rsidR="00E37845" w:rsidRDefault="00E37845">
                    <w:pPr>
                      <w:jc w:val="center"/>
                      <w:rPr>
                        <w:sz w:val="18"/>
                        <w:szCs w:val="18"/>
                      </w:rPr>
                    </w:pPr>
                  </w:p>
                </w:txbxContent>
              </v:textbox>
            </v:rect>
            <v:shape id="直接箭头连接符 3" o:spid="_x0000_s1215" type="#_x0000_t32" style="position:absolute;left:233;top:7888;width:0;height: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" strokecolor="#3c6bbf" strokeweight="3pt">
              <v:stroke endarrow="open"/>
            </v:shape>
          </v:group>
        </w:pict>
      </w:r>
    </w:p>
    <w:p w:rsidR="00E37845" w:rsidRDefault="00E37845">
      <w:pPr>
        <w:pStyle w:val="ListParagraph1"/>
        <w:ind w:firstLine="480"/>
      </w:pPr>
    </w:p>
    <w:p w:rsidR="00E37845" w:rsidRDefault="00E37845">
      <w:pPr>
        <w:pStyle w:val="ListParagraph1"/>
        <w:ind w:firstLine="480"/>
      </w:pPr>
    </w:p>
    <w:p w:rsidR="00E37845" w:rsidRDefault="00E37845">
      <w:pPr>
        <w:pStyle w:val="ListParagraph1"/>
        <w:ind w:firstLine="480"/>
      </w:pPr>
    </w:p>
    <w:p w:rsidR="00E37845" w:rsidRDefault="00E37845">
      <w:pPr>
        <w:pStyle w:val="ListParagraph1"/>
        <w:ind w:firstLine="480"/>
      </w:pPr>
    </w:p>
    <w:p w:rsidR="00E37845" w:rsidRDefault="00E37845">
      <w:pPr>
        <w:pStyle w:val="ListParagraph1"/>
        <w:ind w:firstLine="480"/>
      </w:pPr>
    </w:p>
    <w:p w:rsidR="00E37845" w:rsidRDefault="00E37845">
      <w:pPr>
        <w:pStyle w:val="ListParagraph1"/>
        <w:ind w:firstLine="480"/>
      </w:pPr>
    </w:p>
    <w:p w:rsidR="00E37845" w:rsidRDefault="00E37845">
      <w:pPr>
        <w:pStyle w:val="ListParagraph1"/>
        <w:ind w:firstLine="480"/>
      </w:pPr>
    </w:p>
    <w:p w:rsidR="00E37845" w:rsidRDefault="00E37845">
      <w:pPr>
        <w:pStyle w:val="ListParagraph1"/>
        <w:numPr>
          <w:ilvl w:val="255"/>
          <w:numId w:val="0"/>
        </w:numPr>
        <w:adjustRightInd w:val="0"/>
        <w:snapToGrid w:val="0"/>
        <w:spacing w:beforeLines="50" w:before="156" w:afterLines="50" w:after="156" w:line="360" w:lineRule="auto"/>
        <w:ind w:firstLineChars="200" w:firstLine="482"/>
        <w:jc w:val="left"/>
        <w:rPr>
          <w:rFonts w:ascii="黑体" w:eastAsia="黑体" w:hAnsi="黑体" w:cs="黑体"/>
          <w:b/>
          <w:bCs/>
          <w:color w:val="000000" w:themeColor="text1"/>
        </w:rPr>
      </w:pPr>
    </w:p>
    <w:p w:rsidR="00E37845" w:rsidRDefault="00E22BDD">
      <w:pPr>
        <w:pStyle w:val="ListParagraph1"/>
        <w:numPr>
          <w:ilvl w:val="255"/>
          <w:numId w:val="0"/>
        </w:numPr>
        <w:adjustRightInd w:val="0"/>
        <w:snapToGrid w:val="0"/>
        <w:spacing w:beforeLines="50" w:before="156" w:afterLines="50" w:after="156" w:line="360" w:lineRule="auto"/>
        <w:ind w:firstLineChars="200" w:firstLine="482"/>
        <w:jc w:val="left"/>
        <w:rPr>
          <w:rFonts w:ascii="黑体" w:eastAsia="黑体" w:hAnsi="黑体" w:cs="黑体"/>
          <w:b/>
          <w:bCs/>
          <w:color w:val="000000" w:themeColor="text1"/>
        </w:rPr>
      </w:pPr>
      <w:r>
        <w:rPr>
          <w:rFonts w:ascii="黑体" w:eastAsia="黑体" w:hAnsi="黑体" w:cs="黑体" w:hint="eastAsia"/>
          <w:b/>
          <w:bCs/>
          <w:color w:val="000000" w:themeColor="text1"/>
        </w:rPr>
        <w:lastRenderedPageBreak/>
        <w:t>二、经费预算调整</w:t>
      </w:r>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科研项目预算的调整。纵向科研项目应严格按照批复的预算执行，不得随意调整，确有必要调整直接费用预算的，应符合中央和地方规定的预算调整范围，履行调整审批程序。间接费用预算不得调整。</w:t>
      </w:r>
    </w:p>
    <w:p w:rsidR="00E37845" w:rsidRDefault="00E22BDD">
      <w:pPr>
        <w:pStyle w:val="ListParagraph1"/>
        <w:numPr>
          <w:ilvl w:val="255"/>
          <w:numId w:val="0"/>
        </w:numPr>
        <w:adjustRightInd w:val="0"/>
        <w:snapToGrid w:val="0"/>
        <w:spacing w:beforeLines="50" w:before="156" w:afterLines="50" w:after="156" w:line="360" w:lineRule="auto"/>
        <w:ind w:firstLine="482"/>
        <w:jc w:val="left"/>
        <w:rPr>
          <w:rFonts w:ascii="黑体" w:eastAsia="黑体" w:hAnsi="黑体" w:cs="黑体"/>
          <w:b/>
          <w:bCs/>
          <w:color w:val="000000" w:themeColor="text1"/>
        </w:rPr>
      </w:pPr>
      <w:r>
        <w:rPr>
          <w:rFonts w:ascii="黑体" w:eastAsia="黑体" w:hAnsi="黑体" w:cs="黑体" w:hint="eastAsia"/>
          <w:b/>
          <w:bCs/>
          <w:color w:val="000000" w:themeColor="text1"/>
        </w:rPr>
        <w:t>三、经费开支范围及规定</w:t>
      </w:r>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科研项目经费的支出范围包括直接费用和间接费用。直接费用包括：设备费、材料费、测试化验加工费、租赁费、差旅费、会议费、国际合作与交流费、出版</w:t>
      </w:r>
      <w:r>
        <w:rPr>
          <w:rFonts w:ascii="仿宋_GB2312" w:eastAsia="仿宋_GB2312" w:hAnsi="仿宋_GB2312" w:cs="仿宋_GB2312"/>
          <w:color w:val="000000" w:themeColor="text1"/>
        </w:rPr>
        <w:t>/文献/信息传播/知识产权事务费、劳务费、人员费、燃料动力费、资料费、数据采集费、印刷出版费、计算机机时费及其辅助设备购置和使用费、成果打印费、管理费、科研合作费以及其他支出。</w:t>
      </w:r>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间接费用：实行间接费用管理的科研项目，中央和地方有明确规定的，按其规定执行。间接费用按照分级管理原则分为学校间接费用、学院（科研院所）间接费用和项目组间接费用；其中，学校社科项目间接费用为间接费用总额的</w:t>
      </w:r>
      <w:r>
        <w:rPr>
          <w:rFonts w:ascii="仿宋_GB2312" w:eastAsia="仿宋_GB2312" w:hAnsi="仿宋_GB2312" w:cs="仿宋_GB2312"/>
          <w:color w:val="000000" w:themeColor="text1"/>
        </w:rPr>
        <w:t>8%，科技项目间接费用为间接费用总额的20%，主要用于学校科研项目管理及服务费用补偿、学校公共成本补偿。学院（科研院所）社科项目间接费用为间接费用总额的2%，科技项目间接费用为间接费用总额的5%，主要用于学院（科研院所）科研项目管理及服务费用补偿、项目组织和实施费用补偿。项目组社科项目间接费用为间接费用总额的90%，科技项目间接费用为间接费用总额的75%，主要用于项目组的绩效支出和无法在直接费用中列支的与项目研究相关的不可预见的费用。绩效支出根据一线科研人员的实际贡献安排，纳入单位奖励性绩效单列管理，但不计入单位绩效工资总量调控基数。</w:t>
      </w:r>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未实行间接费用管理的科研项目，按照学校相关规定执行，纵向社科项目应提取项目管理费</w:t>
      </w:r>
      <w:r>
        <w:rPr>
          <w:rFonts w:ascii="仿宋_GB2312" w:eastAsia="仿宋_GB2312" w:hAnsi="仿宋_GB2312" w:cs="仿宋_GB2312"/>
          <w:color w:val="000000" w:themeColor="text1"/>
        </w:rPr>
        <w:t>4%，纵向科技项目应提取项目管理费5%，横向社科项目应提取项目管理费4%和资源占用费2%，横向科技项目应提取项目管理费5%和资源占用费4%。</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217" w:name="_Toc10184"/>
      <w:bookmarkStart w:id="2218" w:name="_Toc30947"/>
      <w:bookmarkStart w:id="2219" w:name="_Toc12072"/>
      <w:bookmarkStart w:id="2220" w:name="_Toc519781005"/>
      <w:bookmarkStart w:id="2221" w:name="_Toc807"/>
      <w:bookmarkStart w:id="2222" w:name="_Toc32443"/>
      <w:bookmarkStart w:id="2223" w:name="_Toc13100"/>
      <w:bookmarkStart w:id="2224" w:name="_Toc4759"/>
      <w:bookmarkStart w:id="2225" w:name="_Toc28742"/>
      <w:bookmarkStart w:id="2226" w:name="_Toc16573"/>
      <w:bookmarkStart w:id="2227" w:name="_Toc15803"/>
      <w:bookmarkStart w:id="2228" w:name="_Toc12815"/>
      <w:bookmarkStart w:id="2229" w:name="_Toc24113"/>
      <w:bookmarkStart w:id="2230" w:name="_Toc15287"/>
      <w:bookmarkStart w:id="2231" w:name="_Toc2639"/>
      <w:bookmarkStart w:id="2232" w:name="_Toc9885"/>
      <w:bookmarkStart w:id="2233" w:name="_Toc25456"/>
      <w:bookmarkStart w:id="2234" w:name="_Toc3381"/>
      <w:bookmarkStart w:id="2235" w:name="_Toc25226"/>
      <w:bookmarkStart w:id="2236" w:name="_Toc5028"/>
      <w:bookmarkStart w:id="2237" w:name="_Toc28245"/>
      <w:bookmarkStart w:id="2238" w:name="_Toc8399"/>
      <w:bookmarkStart w:id="2239" w:name="_Toc2667"/>
      <w:bookmarkStart w:id="2240" w:name="_Toc13091"/>
      <w:bookmarkStart w:id="2241" w:name="_Toc31798"/>
      <w:bookmarkStart w:id="2242" w:name="_Toc892"/>
      <w:r>
        <w:rPr>
          <w:rFonts w:ascii="黑体" w:eastAsia="黑体" w:hAnsi="黑体" w:cs="黑体" w:hint="eastAsia"/>
          <w:color w:val="000000" w:themeColor="text1"/>
          <w:sz w:val="28"/>
          <w:szCs w:val="28"/>
        </w:rPr>
        <w:t>7.5科研平台主要类别</w:t>
      </w:r>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科研机构与重点科研平台详见校科研处网站：</w:t>
      </w:r>
      <w:hyperlink r:id="rId24" w:history="1">
        <w:r>
          <w:rPr>
            <w:rStyle w:val="15"/>
            <w:rFonts w:ascii="Times New Roman" w:eastAsia="仿宋_GB2312" w:hAnsi="Times New Roman" w:cs="Times New Roman"/>
            <w:color w:val="000000" w:themeColor="text1"/>
          </w:rPr>
          <w:t>http://kyc.gzhu.edu.cn/</w:t>
        </w:r>
      </w:hyperlink>
    </w:p>
    <w:p w:rsidR="00E37845" w:rsidRDefault="00E22BDD">
      <w:pPr>
        <w:numPr>
          <w:ilvl w:val="255"/>
          <w:numId w:val="0"/>
        </w:numPr>
        <w:spacing w:line="360" w:lineRule="auto"/>
        <w:ind w:firstLineChars="200" w:firstLine="482"/>
        <w:rPr>
          <w:rFonts w:ascii="黑体" w:eastAsia="黑体" w:hAnsi="黑体" w:cs="黑体"/>
          <w:b/>
          <w:bCs/>
          <w:sz w:val="24"/>
          <w:szCs w:val="24"/>
        </w:rPr>
      </w:pPr>
      <w:bookmarkStart w:id="2243" w:name="_Toc1910"/>
      <w:bookmarkStart w:id="2244" w:name="_Toc28668"/>
      <w:bookmarkStart w:id="2245" w:name="_Toc26013"/>
      <w:bookmarkStart w:id="2246" w:name="_Toc6580"/>
      <w:bookmarkStart w:id="2247" w:name="_Toc519781006"/>
      <w:bookmarkStart w:id="2248" w:name="_Toc15408"/>
      <w:bookmarkStart w:id="2249" w:name="_Toc27807"/>
      <w:bookmarkStart w:id="2250" w:name="_Toc6130"/>
      <w:bookmarkStart w:id="2251" w:name="_Toc89"/>
      <w:bookmarkStart w:id="2252" w:name="_Toc11222"/>
      <w:bookmarkStart w:id="2253" w:name="_Toc32386"/>
      <w:bookmarkStart w:id="2254" w:name="_Toc17271"/>
      <w:r>
        <w:rPr>
          <w:rFonts w:ascii="黑体" w:eastAsia="黑体" w:hAnsi="黑体" w:cs="黑体" w:hint="eastAsia"/>
          <w:b/>
          <w:bCs/>
          <w:sz w:val="24"/>
          <w:szCs w:val="24"/>
        </w:rPr>
        <w:t>一、科技类科研平台</w:t>
      </w:r>
      <w:bookmarkEnd w:id="2243"/>
      <w:bookmarkEnd w:id="2244"/>
      <w:bookmarkEnd w:id="2245"/>
      <w:bookmarkEnd w:id="2246"/>
      <w:bookmarkEnd w:id="2247"/>
      <w:bookmarkEnd w:id="2248"/>
      <w:bookmarkEnd w:id="2249"/>
      <w:bookmarkEnd w:id="2250"/>
      <w:bookmarkEnd w:id="2251"/>
      <w:bookmarkEnd w:id="2252"/>
      <w:bookmarkEnd w:id="2253"/>
      <w:bookmarkEnd w:id="2254"/>
    </w:p>
    <w:p w:rsidR="00E37845" w:rsidRDefault="00E22BDD">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（科研处咨询部门：平台管理办公室 毛钟红、王玉林 TEL：39366985）</w:t>
      </w:r>
    </w:p>
    <w:p w:rsidR="00E37845" w:rsidRDefault="00E22BDD">
      <w:pPr>
        <w:numPr>
          <w:ilvl w:val="255"/>
          <w:numId w:val="0"/>
        </w:numPr>
        <w:spacing w:line="360" w:lineRule="auto"/>
        <w:ind w:firstLineChars="200" w:firstLine="482"/>
        <w:rPr>
          <w:rFonts w:ascii="黑体" w:eastAsia="黑体" w:hAnsi="黑体" w:cs="黑体"/>
          <w:b/>
          <w:bCs/>
          <w:sz w:val="24"/>
          <w:szCs w:val="24"/>
        </w:rPr>
      </w:pPr>
      <w:bookmarkStart w:id="2255" w:name="_Toc15481"/>
      <w:bookmarkStart w:id="2256" w:name="_Toc11243"/>
      <w:bookmarkStart w:id="2257" w:name="_Toc12464"/>
      <w:bookmarkStart w:id="2258" w:name="_Toc519781007"/>
      <w:bookmarkStart w:id="2259" w:name="_Toc6251"/>
      <w:bookmarkStart w:id="2260" w:name="_Toc10996"/>
      <w:bookmarkStart w:id="2261" w:name="_Toc15155"/>
      <w:bookmarkStart w:id="2262" w:name="_Toc11178"/>
      <w:bookmarkStart w:id="2263" w:name="_Toc3065"/>
      <w:bookmarkStart w:id="2264" w:name="_Toc23966"/>
      <w:bookmarkStart w:id="2265" w:name="_Toc5130"/>
      <w:bookmarkStart w:id="2266" w:name="_Toc27398"/>
      <w:r>
        <w:rPr>
          <w:rFonts w:ascii="黑体" w:eastAsia="黑体" w:hAnsi="黑体" w:cs="黑体" w:hint="eastAsia"/>
          <w:b/>
          <w:bCs/>
          <w:sz w:val="24"/>
          <w:szCs w:val="24"/>
        </w:rPr>
        <w:t>二、社科类科研平台</w:t>
      </w:r>
      <w:bookmarkEnd w:id="2255"/>
      <w:bookmarkEnd w:id="2256"/>
      <w:bookmarkEnd w:id="2257"/>
      <w:bookmarkEnd w:id="2258"/>
      <w:bookmarkEnd w:id="2259"/>
      <w:bookmarkEnd w:id="2260"/>
      <w:bookmarkEnd w:id="2261"/>
      <w:bookmarkEnd w:id="2262"/>
      <w:bookmarkEnd w:id="2263"/>
      <w:bookmarkEnd w:id="2264"/>
      <w:bookmarkEnd w:id="2265"/>
      <w:bookmarkEnd w:id="2266"/>
    </w:p>
    <w:p w:rsidR="00E37845" w:rsidRDefault="00E22BDD">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（科研处咨询部门：平台管理办公室 刘军 TEL：39366985）</w:t>
      </w:r>
    </w:p>
    <w:p w:rsidR="00E37845" w:rsidRDefault="00E22BDD">
      <w:pPr>
        <w:pStyle w:val="ListParagraph1"/>
        <w:adjustRightInd w:val="0"/>
        <w:snapToGrid w:val="0"/>
        <w:ind w:firstLine="482"/>
        <w:jc w:val="left"/>
        <w:rPr>
          <w:rFonts w:ascii="仿宋_GB2312" w:eastAsia="仿宋_GB2312" w:hAnsi="仿宋_GB2312" w:cs="仿宋_GB2312"/>
          <w:b/>
          <w:bCs/>
        </w:rPr>
      </w:pPr>
      <w:bookmarkStart w:id="2267" w:name="_Toc30769"/>
      <w:bookmarkStart w:id="2268" w:name="_Toc16345"/>
      <w:bookmarkStart w:id="2269" w:name="_Toc27860"/>
      <w:bookmarkStart w:id="2270" w:name="_Toc9920"/>
      <w:bookmarkStart w:id="2271" w:name="_Toc15618"/>
      <w:bookmarkStart w:id="2272" w:name="_Toc5815"/>
      <w:bookmarkStart w:id="2273" w:name="_Toc12671"/>
      <w:bookmarkStart w:id="2274" w:name="_Toc13007"/>
      <w:bookmarkStart w:id="2275" w:name="_Toc12118"/>
      <w:bookmarkStart w:id="2276" w:name="_Toc2909"/>
      <w:bookmarkStart w:id="2277" w:name="_Toc10884"/>
      <w:bookmarkStart w:id="2278" w:name="_Toc519781008"/>
      <w:r>
        <w:rPr>
          <w:rFonts w:ascii="黑体" w:eastAsia="黑体" w:hAnsi="黑体" w:cs="黑体" w:hint="eastAsia"/>
          <w:b/>
          <w:bCs/>
        </w:rPr>
        <w:t>三、科研机构</w:t>
      </w:r>
      <w:bookmarkEnd w:id="2267"/>
      <w:bookmarkEnd w:id="2268"/>
      <w:bookmarkEnd w:id="2269"/>
      <w:bookmarkEnd w:id="2270"/>
      <w:bookmarkEnd w:id="2271"/>
      <w:bookmarkEnd w:id="2272"/>
      <w:bookmarkEnd w:id="2273"/>
      <w:bookmarkEnd w:id="2274"/>
      <w:bookmarkEnd w:id="2275"/>
      <w:bookmarkEnd w:id="2276"/>
      <w:bookmarkEnd w:id="2277"/>
      <w:bookmarkEnd w:id="2278"/>
      <w:r>
        <w:rPr>
          <w:rFonts w:ascii="黑体" w:eastAsia="黑体" w:hAnsi="黑体" w:cs="黑体" w:hint="eastAsia"/>
          <w:b/>
          <w:bCs/>
        </w:rPr>
        <w:t>（详见广大〔2017〕291号）</w:t>
      </w:r>
    </w:p>
    <w:p w:rsidR="00E37845" w:rsidRDefault="00E22BDD">
      <w:pPr>
        <w:spacing w:line="360" w:lineRule="auto"/>
        <w:ind w:firstLineChars="200" w:firstLine="480"/>
        <w:rPr>
          <w:rFonts w:ascii="仿宋_GB2312" w:eastAsia="仿宋_GB2312" w:hAnsi="仿宋_GB2312" w:cs="仿宋_GB2312"/>
          <w:szCs w:val="24"/>
        </w:rPr>
      </w:pPr>
      <w:r>
        <w:rPr>
          <w:rFonts w:ascii="仿宋_GB2312" w:eastAsia="仿宋_GB2312" w:hAnsi="仿宋_GB2312" w:cs="仿宋_GB2312" w:hint="eastAsia"/>
          <w:sz w:val="24"/>
          <w:szCs w:val="24"/>
        </w:rPr>
        <w:t>（科研处咨询部门：平台管理办公室刘军、王玉林TEL：39366985</w:t>
      </w:r>
      <w:r>
        <w:rPr>
          <w:rFonts w:ascii="仿宋_GB2312" w:eastAsia="仿宋_GB2312" w:hAnsi="仿宋_GB2312" w:cs="仿宋_GB2312"/>
          <w:sz w:val="24"/>
          <w:szCs w:val="24"/>
        </w:rPr>
        <w:t>）</w:t>
      </w:r>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学校科研机构分为科研机构</w:t>
      </w:r>
      <w:r>
        <w:rPr>
          <w:rFonts w:ascii="仿宋_GB2312" w:eastAsia="仿宋_GB2312" w:hAnsi="仿宋_GB2312" w:cs="仿宋_GB2312"/>
          <w:color w:val="000000" w:themeColor="text1"/>
        </w:rPr>
        <w:t>I类、科研机构II类和科研机构III类。科研机构I类是由学校设立、以学校管理为主的校级科研机构；科研机构II类是由学校设立、以学院管理为主的校级科研机构；科研机构III类是由学院设立并管理的院级科研机构。</w:t>
      </w:r>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科研机构</w:t>
      </w:r>
      <w:r>
        <w:rPr>
          <w:rFonts w:ascii="仿宋_GB2312" w:eastAsia="仿宋_GB2312" w:hAnsi="仿宋_GB2312" w:cs="仿宋_GB2312"/>
          <w:color w:val="000000" w:themeColor="text1"/>
        </w:rPr>
        <w:t>I类主要是面向国际学术前沿、国家重大战略需求、国家和区域经济社会需求，对接广州城市发展、创新发展和开放发展，由学校重点布局和建设的综合平台型科研机构，旨在通过学科交叉融合，完成学校大学科平台重点布局任务，实现冲击国家级科研平台目标。</w:t>
      </w:r>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科研机构</w:t>
      </w:r>
      <w:r>
        <w:rPr>
          <w:rFonts w:ascii="仿宋_GB2312" w:eastAsia="仿宋_GB2312" w:hAnsi="仿宋_GB2312" w:cs="仿宋_GB2312"/>
          <w:color w:val="000000" w:themeColor="text1"/>
        </w:rPr>
        <w:t>II类是根据学校重点建设学科的整体规划，由学校布局、主要依托学院建设的学科主导型科研机构，旨在整合和依托学院学科资源，巩固和促进优势与特色学科发展，培育新的学科增长点与学科领域，实现冲击省部级重点科研平台目标。</w:t>
      </w:r>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科研机构</w:t>
      </w:r>
      <w:r>
        <w:rPr>
          <w:rFonts w:ascii="仿宋_GB2312" w:eastAsia="仿宋_GB2312" w:hAnsi="仿宋_GB2312" w:cs="仿宋_GB2312"/>
          <w:color w:val="000000" w:themeColor="text1"/>
        </w:rPr>
        <w:t>III类是根据学院学科发展规划，统筹其学科发展和科研需要，由学院建设的学科方向（领域）型科研机构，旨在有效支撑学院学科建设的重点方向（领域），进一步提升学院科研创新和服务社会能力。</w:t>
      </w:r>
    </w:p>
    <w:p w:rsidR="00E37845" w:rsidRDefault="00E22BDD">
      <w:pPr>
        <w:widowControl/>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br w:type="page"/>
      </w:r>
    </w:p>
    <w:p w:rsidR="00E37845" w:rsidRDefault="00E22BDD">
      <w:pPr>
        <w:pStyle w:val="a3"/>
        <w:adjustRightInd w:val="0"/>
        <w:snapToGrid w:val="0"/>
        <w:spacing w:beforeLines="0" w:afterLines="0" w:line="360" w:lineRule="auto"/>
        <w:rPr>
          <w:rFonts w:ascii="仿宋_GB2312" w:eastAsia="仿宋_GB2312" w:hAnsi="仿宋_GB2312" w:cs="仿宋_GB2312"/>
          <w:b/>
          <w:bCs/>
          <w:color w:val="000000" w:themeColor="text1"/>
          <w:sz w:val="28"/>
          <w:szCs w:val="28"/>
        </w:rPr>
      </w:pPr>
      <w:r>
        <w:rPr>
          <w:rFonts w:ascii="仿宋_GB2312" w:eastAsia="仿宋_GB2312" w:hAnsi="仿宋_GB2312" w:cs="仿宋_GB2312" w:hint="eastAsia"/>
          <w:b/>
          <w:bCs/>
          <w:color w:val="000000" w:themeColor="text1"/>
          <w:sz w:val="28"/>
          <w:szCs w:val="28"/>
        </w:rPr>
        <w:lastRenderedPageBreak/>
        <w:t>科研机构Ⅰ类</w:t>
      </w:r>
    </w:p>
    <w:tbl>
      <w:tblPr>
        <w:tblStyle w:val="af0"/>
        <w:tblW w:w="8619"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483"/>
        <w:gridCol w:w="3165"/>
        <w:gridCol w:w="2971"/>
      </w:tblGrid>
      <w:tr w:rsidR="00E37845">
        <w:trPr>
          <w:jc w:val="center"/>
        </w:trPr>
        <w:tc>
          <w:tcPr>
            <w:tcW w:w="2483" w:type="dxa"/>
            <w:tcBorders>
              <w:top w:val="single" w:sz="12" w:space="0" w:color="auto"/>
              <w:left w:val="single" w:sz="12" w:space="0" w:color="auto"/>
              <w:bottom w:val="single" w:sz="4" w:space="0" w:color="auto"/>
              <w:right w:val="single" w:sz="4" w:space="0" w:color="auto"/>
            </w:tcBorders>
            <w:vAlign w:val="center"/>
          </w:tcPr>
          <w:p w:rsidR="00E37845" w:rsidRDefault="00E22BDD">
            <w:pPr>
              <w:adjustRightInd w:val="0"/>
              <w:snapToGrid w:val="0"/>
              <w:spacing w:beforeLines="50" w:before="156"/>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工程抗震研究中心</w:t>
            </w:r>
          </w:p>
        </w:tc>
        <w:tc>
          <w:tcPr>
            <w:tcW w:w="3165" w:type="dxa"/>
            <w:tcBorders>
              <w:top w:val="single" w:sz="12" w:space="0" w:color="auto"/>
              <w:left w:val="single" w:sz="4" w:space="0" w:color="auto"/>
              <w:bottom w:val="single" w:sz="4" w:space="0" w:color="auto"/>
              <w:right w:val="single" w:sz="4" w:space="0" w:color="auto"/>
            </w:tcBorders>
            <w:vAlign w:val="center"/>
          </w:tcPr>
          <w:p w:rsidR="00E37845" w:rsidRDefault="00E22BDD">
            <w:pPr>
              <w:adjustRightInd w:val="0"/>
              <w:snapToGrid w:val="0"/>
              <w:spacing w:beforeLines="50" w:before="156"/>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广州大学</w:t>
            </w:r>
            <w:r>
              <w:rPr>
                <w:rFonts w:ascii="仿宋_GB2312" w:eastAsia="仿宋_GB2312" w:hAnsi="仿宋_GB2312" w:cs="仿宋_GB2312"/>
                <w:color w:val="000000" w:themeColor="text1"/>
                <w:kern w:val="0"/>
                <w:sz w:val="24"/>
                <w:szCs w:val="24"/>
              </w:rPr>
              <w:t>-淡江大学工程结构灾害与控制联合研究中心</w:t>
            </w:r>
          </w:p>
        </w:tc>
        <w:tc>
          <w:tcPr>
            <w:tcW w:w="2971" w:type="dxa"/>
            <w:tcBorders>
              <w:top w:val="single" w:sz="12" w:space="0" w:color="auto"/>
              <w:left w:val="single" w:sz="4" w:space="0" w:color="auto"/>
              <w:bottom w:val="single" w:sz="4" w:space="0" w:color="auto"/>
              <w:right w:val="single" w:sz="12" w:space="0" w:color="auto"/>
            </w:tcBorders>
            <w:vAlign w:val="center"/>
          </w:tcPr>
          <w:p w:rsidR="00E37845" w:rsidRDefault="00E22BDD">
            <w:pPr>
              <w:adjustRightInd w:val="0"/>
              <w:snapToGrid w:val="0"/>
              <w:spacing w:beforeLines="50" w:before="156"/>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计算科技研究院</w:t>
            </w:r>
          </w:p>
        </w:tc>
      </w:tr>
      <w:tr w:rsidR="00E37845">
        <w:trPr>
          <w:jc w:val="center"/>
        </w:trPr>
        <w:tc>
          <w:tcPr>
            <w:tcW w:w="2483" w:type="dxa"/>
            <w:tcBorders>
              <w:top w:val="single" w:sz="4" w:space="0" w:color="auto"/>
              <w:left w:val="single" w:sz="12" w:space="0" w:color="auto"/>
              <w:bottom w:val="single" w:sz="4" w:space="0" w:color="auto"/>
              <w:right w:val="single" w:sz="4" w:space="0" w:color="auto"/>
            </w:tcBorders>
            <w:vAlign w:val="center"/>
          </w:tcPr>
          <w:p w:rsidR="00E37845" w:rsidRDefault="001B499F">
            <w:pPr>
              <w:adjustRightInd w:val="0"/>
              <w:snapToGrid w:val="0"/>
              <w:spacing w:beforeLines="50" w:before="156"/>
              <w:jc w:val="center"/>
              <w:rPr>
                <w:rFonts w:ascii="仿宋_GB2312" w:eastAsia="仿宋_GB2312" w:hAnsi="仿宋_GB2312" w:cs="仿宋_GB2312"/>
                <w:color w:val="000000" w:themeColor="text1"/>
                <w:kern w:val="0"/>
                <w:sz w:val="24"/>
                <w:szCs w:val="24"/>
              </w:rPr>
            </w:pPr>
            <w:hyperlink r:id="rId25" w:tooltip="广州大学智能制造工程研究院" w:history="1">
              <w:r w:rsidR="00E22BDD">
                <w:rPr>
                  <w:rStyle w:val="af2"/>
                  <w:rFonts w:ascii="仿宋_GB2312" w:eastAsia="仿宋_GB2312" w:hAnsi="仿宋_GB2312" w:cs="仿宋_GB2312" w:hint="eastAsia"/>
                  <w:color w:val="000000" w:themeColor="text1"/>
                  <w:kern w:val="0"/>
                  <w:sz w:val="24"/>
                  <w:szCs w:val="24"/>
                  <w:u w:val="none"/>
                </w:rPr>
                <w:t>智能制造工程研究院</w:t>
              </w:r>
            </w:hyperlink>
          </w:p>
        </w:tc>
        <w:tc>
          <w:tcPr>
            <w:tcW w:w="3165" w:type="dxa"/>
            <w:tcBorders>
              <w:top w:val="single" w:sz="4" w:space="0" w:color="auto"/>
              <w:left w:val="single" w:sz="4" w:space="0" w:color="auto"/>
              <w:bottom w:val="single" w:sz="4" w:space="0" w:color="auto"/>
              <w:right w:val="single" w:sz="4" w:space="0" w:color="auto"/>
            </w:tcBorders>
            <w:vAlign w:val="center"/>
          </w:tcPr>
          <w:p w:rsidR="00E37845" w:rsidRDefault="001B499F">
            <w:pPr>
              <w:adjustRightInd w:val="0"/>
              <w:snapToGrid w:val="0"/>
              <w:spacing w:beforeLines="50" w:before="156"/>
              <w:jc w:val="center"/>
              <w:rPr>
                <w:rFonts w:ascii="仿宋_GB2312" w:eastAsia="仿宋_GB2312" w:hAnsi="仿宋_GB2312" w:cs="仿宋_GB2312"/>
                <w:color w:val="000000" w:themeColor="text1"/>
                <w:kern w:val="0"/>
                <w:sz w:val="24"/>
                <w:szCs w:val="24"/>
              </w:rPr>
            </w:pPr>
            <w:hyperlink r:id="rId26" w:history="1">
              <w:r w:rsidR="00E22BDD">
                <w:rPr>
                  <w:rStyle w:val="af2"/>
                  <w:rFonts w:ascii="仿宋_GB2312" w:eastAsia="仿宋_GB2312" w:hAnsi="仿宋_GB2312" w:cs="仿宋_GB2312" w:hint="eastAsia"/>
                  <w:color w:val="000000" w:themeColor="text1"/>
                  <w:kern w:val="0"/>
                  <w:sz w:val="24"/>
                  <w:szCs w:val="24"/>
                  <w:u w:val="none"/>
                </w:rPr>
                <w:t>网络空间先进技术研究院</w:t>
              </w:r>
            </w:hyperlink>
          </w:p>
        </w:tc>
        <w:tc>
          <w:tcPr>
            <w:tcW w:w="2971" w:type="dxa"/>
            <w:tcBorders>
              <w:top w:val="single" w:sz="4" w:space="0" w:color="auto"/>
              <w:left w:val="single" w:sz="4" w:space="0" w:color="auto"/>
              <w:bottom w:val="single" w:sz="4" w:space="0" w:color="auto"/>
              <w:right w:val="single" w:sz="12" w:space="0" w:color="auto"/>
            </w:tcBorders>
            <w:vAlign w:val="center"/>
          </w:tcPr>
          <w:p w:rsidR="00E37845" w:rsidRDefault="001B499F">
            <w:pPr>
              <w:adjustRightInd w:val="0"/>
              <w:snapToGrid w:val="0"/>
              <w:spacing w:beforeLines="50" w:before="156"/>
              <w:jc w:val="center"/>
              <w:rPr>
                <w:rFonts w:ascii="仿宋_GB2312" w:eastAsia="仿宋_GB2312" w:hAnsi="仿宋_GB2312" w:cs="仿宋_GB2312"/>
                <w:color w:val="000000" w:themeColor="text1"/>
                <w:kern w:val="0"/>
                <w:sz w:val="24"/>
                <w:szCs w:val="24"/>
              </w:rPr>
            </w:pPr>
            <w:hyperlink r:id="rId27" w:history="1">
              <w:r w:rsidR="00E22BDD">
                <w:rPr>
                  <w:rStyle w:val="af2"/>
                  <w:rFonts w:ascii="仿宋_GB2312" w:eastAsia="仿宋_GB2312" w:hAnsi="仿宋_GB2312" w:cs="仿宋_GB2312" w:hint="eastAsia"/>
                  <w:color w:val="000000" w:themeColor="text1"/>
                  <w:kern w:val="0"/>
                  <w:sz w:val="24"/>
                  <w:szCs w:val="24"/>
                  <w:u w:val="none"/>
                </w:rPr>
                <w:t>大湾区环境研究院</w:t>
              </w:r>
            </w:hyperlink>
            <w:r w:rsidR="00E22BDD">
              <w:rPr>
                <w:rFonts w:ascii="仿宋_GB2312" w:eastAsia="仿宋_GB2312" w:hAnsi="仿宋_GB2312" w:cs="仿宋_GB2312" w:hint="eastAsia"/>
                <w:color w:val="000000" w:themeColor="text1"/>
                <w:kern w:val="0"/>
                <w:sz w:val="24"/>
                <w:szCs w:val="24"/>
              </w:rPr>
              <w:t>（含</w:t>
            </w:r>
            <w:hyperlink r:id="rId28" w:history="1">
              <w:r w:rsidR="00E22BDD">
                <w:rPr>
                  <w:rStyle w:val="af2"/>
                  <w:rFonts w:ascii="仿宋_GB2312" w:eastAsia="仿宋_GB2312" w:hAnsi="仿宋_GB2312" w:cs="仿宋_GB2312" w:hint="eastAsia"/>
                  <w:color w:val="000000" w:themeColor="text1"/>
                  <w:kern w:val="0"/>
                  <w:sz w:val="24"/>
                  <w:szCs w:val="24"/>
                  <w:u w:val="none"/>
                </w:rPr>
                <w:t>珠江三角洲水质安全与保护协同创新中心</w:t>
              </w:r>
            </w:hyperlink>
            <w:r w:rsidR="00E22BDD">
              <w:rPr>
                <w:rFonts w:ascii="仿宋_GB2312" w:eastAsia="仿宋_GB2312" w:hAnsi="仿宋_GB2312" w:cs="仿宋_GB2312" w:hint="eastAsia"/>
                <w:color w:val="000000" w:themeColor="text1"/>
                <w:kern w:val="0"/>
                <w:sz w:val="24"/>
                <w:szCs w:val="24"/>
              </w:rPr>
              <w:t>）</w:t>
            </w:r>
          </w:p>
        </w:tc>
      </w:tr>
      <w:tr w:rsidR="00E37845">
        <w:trPr>
          <w:jc w:val="center"/>
        </w:trPr>
        <w:tc>
          <w:tcPr>
            <w:tcW w:w="2483" w:type="dxa"/>
            <w:tcBorders>
              <w:top w:val="single" w:sz="4" w:space="0" w:color="auto"/>
              <w:left w:val="single" w:sz="12" w:space="0" w:color="auto"/>
              <w:bottom w:val="single" w:sz="4" w:space="0" w:color="auto"/>
              <w:right w:val="single" w:sz="4" w:space="0" w:color="auto"/>
            </w:tcBorders>
            <w:vAlign w:val="center"/>
          </w:tcPr>
          <w:p w:rsidR="00E37845" w:rsidRDefault="001B499F">
            <w:pPr>
              <w:adjustRightInd w:val="0"/>
              <w:snapToGrid w:val="0"/>
              <w:spacing w:beforeLines="50" w:before="156"/>
              <w:jc w:val="center"/>
              <w:rPr>
                <w:rFonts w:ascii="仿宋_GB2312" w:eastAsia="仿宋_GB2312" w:hAnsi="仿宋_GB2312" w:cs="仿宋_GB2312"/>
                <w:color w:val="000000" w:themeColor="text1"/>
                <w:kern w:val="0"/>
                <w:sz w:val="24"/>
                <w:szCs w:val="24"/>
              </w:rPr>
            </w:pPr>
            <w:hyperlink r:id="rId29" w:history="1">
              <w:r w:rsidR="00E22BDD">
                <w:rPr>
                  <w:rStyle w:val="af2"/>
                  <w:rFonts w:ascii="仿宋_GB2312" w:eastAsia="仿宋_GB2312" w:hAnsi="仿宋_GB2312" w:cs="仿宋_GB2312" w:hint="eastAsia"/>
                  <w:color w:val="000000" w:themeColor="text1"/>
                  <w:kern w:val="0"/>
                  <w:sz w:val="24"/>
                  <w:szCs w:val="24"/>
                  <w:u w:val="none"/>
                </w:rPr>
                <w:t>应用数学研究中心</w:t>
              </w:r>
            </w:hyperlink>
          </w:p>
        </w:tc>
        <w:tc>
          <w:tcPr>
            <w:tcW w:w="3165" w:type="dxa"/>
            <w:tcBorders>
              <w:top w:val="single" w:sz="4" w:space="0" w:color="auto"/>
              <w:left w:val="single" w:sz="4" w:space="0" w:color="auto"/>
              <w:bottom w:val="single" w:sz="4" w:space="0" w:color="auto"/>
              <w:right w:val="single" w:sz="4" w:space="0" w:color="auto"/>
            </w:tcBorders>
            <w:vAlign w:val="center"/>
          </w:tcPr>
          <w:p w:rsidR="00E37845" w:rsidRDefault="001B499F">
            <w:pPr>
              <w:adjustRightInd w:val="0"/>
              <w:snapToGrid w:val="0"/>
              <w:spacing w:beforeLines="50" w:before="156"/>
              <w:jc w:val="center"/>
              <w:rPr>
                <w:rFonts w:ascii="仿宋_GB2312" w:eastAsia="仿宋_GB2312" w:hAnsi="仿宋_GB2312" w:cs="仿宋_GB2312"/>
                <w:color w:val="000000" w:themeColor="text1"/>
                <w:kern w:val="0"/>
                <w:sz w:val="24"/>
                <w:szCs w:val="24"/>
              </w:rPr>
            </w:pPr>
            <w:hyperlink r:id="rId30" w:history="1">
              <w:r w:rsidR="00E22BDD">
                <w:rPr>
                  <w:rStyle w:val="af2"/>
                  <w:rFonts w:ascii="仿宋_GB2312" w:eastAsia="仿宋_GB2312" w:hAnsi="仿宋_GB2312" w:cs="仿宋_GB2312" w:hint="eastAsia"/>
                  <w:color w:val="000000" w:themeColor="text1"/>
                  <w:kern w:val="0"/>
                  <w:sz w:val="24"/>
                  <w:szCs w:val="24"/>
                  <w:u w:val="none"/>
                </w:rPr>
                <w:t>广州发展研究院</w:t>
              </w:r>
            </w:hyperlink>
          </w:p>
        </w:tc>
        <w:tc>
          <w:tcPr>
            <w:tcW w:w="2971" w:type="dxa"/>
            <w:tcBorders>
              <w:top w:val="single" w:sz="4" w:space="0" w:color="auto"/>
              <w:left w:val="single" w:sz="4" w:space="0" w:color="auto"/>
              <w:bottom w:val="single" w:sz="4" w:space="0" w:color="auto"/>
              <w:right w:val="single" w:sz="12" w:space="0" w:color="auto"/>
            </w:tcBorders>
            <w:vAlign w:val="center"/>
          </w:tcPr>
          <w:p w:rsidR="00E37845" w:rsidRDefault="001B499F">
            <w:pPr>
              <w:adjustRightInd w:val="0"/>
              <w:snapToGrid w:val="0"/>
              <w:spacing w:beforeLines="50" w:before="156"/>
              <w:rPr>
                <w:rFonts w:ascii="仿宋_GB2312" w:eastAsia="仿宋_GB2312" w:hAnsi="仿宋_GB2312" w:cs="仿宋_GB2312"/>
                <w:color w:val="000000" w:themeColor="text1"/>
                <w:kern w:val="0"/>
                <w:sz w:val="24"/>
                <w:szCs w:val="24"/>
              </w:rPr>
            </w:pPr>
            <w:hyperlink r:id="rId31" w:history="1">
              <w:r w:rsidR="00E22BDD">
                <w:rPr>
                  <w:rStyle w:val="af2"/>
                  <w:rFonts w:ascii="仿宋_GB2312" w:eastAsia="仿宋_GB2312" w:hAnsi="仿宋_GB2312" w:cs="仿宋_GB2312" w:hint="eastAsia"/>
                  <w:color w:val="000000" w:themeColor="text1"/>
                  <w:kern w:val="0"/>
                  <w:sz w:val="24"/>
                  <w:szCs w:val="24"/>
                  <w:u w:val="none"/>
                </w:rPr>
                <w:t>金融研究院</w:t>
              </w:r>
            </w:hyperlink>
          </w:p>
        </w:tc>
      </w:tr>
      <w:tr w:rsidR="00E37845">
        <w:trPr>
          <w:jc w:val="center"/>
        </w:trPr>
        <w:tc>
          <w:tcPr>
            <w:tcW w:w="2483" w:type="dxa"/>
            <w:tcBorders>
              <w:top w:val="single" w:sz="4" w:space="0" w:color="auto"/>
              <w:left w:val="single" w:sz="12" w:space="0" w:color="auto"/>
              <w:bottom w:val="single" w:sz="4" w:space="0" w:color="auto"/>
              <w:right w:val="single" w:sz="4" w:space="0" w:color="auto"/>
            </w:tcBorders>
            <w:vAlign w:val="center"/>
          </w:tcPr>
          <w:p w:rsidR="00E37845" w:rsidRDefault="001B499F">
            <w:pPr>
              <w:adjustRightInd w:val="0"/>
              <w:snapToGrid w:val="0"/>
              <w:spacing w:beforeLines="50" w:before="156"/>
              <w:jc w:val="center"/>
              <w:rPr>
                <w:rFonts w:ascii="仿宋_GB2312" w:eastAsia="仿宋_GB2312" w:hAnsi="仿宋_GB2312" w:cs="仿宋_GB2312"/>
                <w:color w:val="000000" w:themeColor="text1"/>
                <w:kern w:val="0"/>
                <w:sz w:val="24"/>
                <w:szCs w:val="24"/>
              </w:rPr>
            </w:pPr>
            <w:hyperlink r:id="rId32" w:history="1">
              <w:r w:rsidR="00E22BDD">
                <w:rPr>
                  <w:rStyle w:val="af2"/>
                  <w:rFonts w:ascii="仿宋_GB2312" w:eastAsia="仿宋_GB2312" w:hAnsi="仿宋_GB2312" w:cs="仿宋_GB2312" w:hint="eastAsia"/>
                  <w:color w:val="000000" w:themeColor="text1"/>
                  <w:kern w:val="0"/>
                  <w:sz w:val="24"/>
                  <w:szCs w:val="24"/>
                  <w:u w:val="none"/>
                </w:rPr>
                <w:t>台湾研究院</w:t>
              </w:r>
            </w:hyperlink>
          </w:p>
        </w:tc>
        <w:tc>
          <w:tcPr>
            <w:tcW w:w="3165" w:type="dxa"/>
            <w:tcBorders>
              <w:top w:val="single" w:sz="4" w:space="0" w:color="auto"/>
              <w:left w:val="single" w:sz="4" w:space="0" w:color="auto"/>
              <w:bottom w:val="single" w:sz="4" w:space="0" w:color="auto"/>
              <w:right w:val="single" w:sz="4" w:space="0" w:color="auto"/>
            </w:tcBorders>
            <w:vAlign w:val="center"/>
          </w:tcPr>
          <w:p w:rsidR="00E37845" w:rsidRDefault="001B499F">
            <w:pPr>
              <w:adjustRightInd w:val="0"/>
              <w:snapToGrid w:val="0"/>
              <w:spacing w:beforeLines="50" w:before="156"/>
              <w:jc w:val="center"/>
              <w:rPr>
                <w:rFonts w:ascii="仿宋_GB2312" w:eastAsia="仿宋_GB2312" w:hAnsi="仿宋_GB2312" w:cs="仿宋_GB2312"/>
                <w:color w:val="000000" w:themeColor="text1"/>
                <w:kern w:val="0"/>
                <w:sz w:val="24"/>
                <w:szCs w:val="24"/>
              </w:rPr>
            </w:pPr>
            <w:hyperlink r:id="rId33" w:history="1">
              <w:r w:rsidR="00E22BDD">
                <w:rPr>
                  <w:rStyle w:val="af2"/>
                  <w:rFonts w:ascii="仿宋_GB2312" w:eastAsia="仿宋_GB2312" w:hAnsi="仿宋_GB2312" w:cs="仿宋_GB2312" w:hint="eastAsia"/>
                  <w:color w:val="000000" w:themeColor="text1"/>
                  <w:kern w:val="0"/>
                  <w:sz w:val="24"/>
                  <w:szCs w:val="24"/>
                  <w:u w:val="none"/>
                </w:rPr>
                <w:t>国家人权教育与培训基地（人权研究院）</w:t>
              </w:r>
            </w:hyperlink>
          </w:p>
        </w:tc>
        <w:tc>
          <w:tcPr>
            <w:tcW w:w="2971" w:type="dxa"/>
            <w:tcBorders>
              <w:top w:val="single" w:sz="4" w:space="0" w:color="auto"/>
              <w:left w:val="single" w:sz="4" w:space="0" w:color="auto"/>
              <w:bottom w:val="single" w:sz="4" w:space="0" w:color="auto"/>
              <w:right w:val="single" w:sz="12" w:space="0" w:color="auto"/>
            </w:tcBorders>
            <w:vAlign w:val="center"/>
          </w:tcPr>
          <w:p w:rsidR="00E37845" w:rsidRDefault="001B499F">
            <w:pPr>
              <w:adjustRightInd w:val="0"/>
              <w:snapToGrid w:val="0"/>
              <w:spacing w:beforeLines="50" w:before="156"/>
              <w:rPr>
                <w:rFonts w:ascii="仿宋_GB2312" w:eastAsia="仿宋_GB2312" w:hAnsi="仿宋_GB2312" w:cs="仿宋_GB2312"/>
                <w:color w:val="000000" w:themeColor="text1"/>
                <w:kern w:val="0"/>
                <w:sz w:val="24"/>
                <w:szCs w:val="24"/>
              </w:rPr>
            </w:pPr>
            <w:hyperlink r:id="rId34" w:history="1">
              <w:r w:rsidR="00E22BDD">
                <w:rPr>
                  <w:rStyle w:val="af2"/>
                  <w:rFonts w:ascii="仿宋_GB2312" w:eastAsia="仿宋_GB2312" w:hAnsi="仿宋_GB2312" w:cs="仿宋_GB2312" w:hint="eastAsia"/>
                  <w:color w:val="000000" w:themeColor="text1"/>
                  <w:kern w:val="0"/>
                  <w:sz w:val="24"/>
                  <w:szCs w:val="24"/>
                  <w:u w:val="none"/>
                </w:rPr>
                <w:t>岭南文化艺术研究院</w:t>
              </w:r>
            </w:hyperlink>
          </w:p>
        </w:tc>
      </w:tr>
      <w:tr w:rsidR="00E37845">
        <w:trPr>
          <w:jc w:val="center"/>
        </w:trPr>
        <w:tc>
          <w:tcPr>
            <w:tcW w:w="2483" w:type="dxa"/>
            <w:tcBorders>
              <w:top w:val="single" w:sz="4" w:space="0" w:color="auto"/>
              <w:left w:val="single" w:sz="12" w:space="0" w:color="auto"/>
              <w:bottom w:val="single" w:sz="12" w:space="0" w:color="auto"/>
              <w:right w:val="single" w:sz="4" w:space="0" w:color="auto"/>
            </w:tcBorders>
            <w:vAlign w:val="center"/>
          </w:tcPr>
          <w:p w:rsidR="00E37845" w:rsidRDefault="00E22BDD">
            <w:pPr>
              <w:adjustRightInd w:val="0"/>
              <w:snapToGrid w:val="0"/>
              <w:spacing w:beforeLines="50" w:before="156"/>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军事工程技术研究院</w:t>
            </w:r>
          </w:p>
        </w:tc>
        <w:tc>
          <w:tcPr>
            <w:tcW w:w="3165" w:type="dxa"/>
            <w:tcBorders>
              <w:top w:val="single" w:sz="4" w:space="0" w:color="auto"/>
              <w:left w:val="single" w:sz="4" w:space="0" w:color="auto"/>
              <w:bottom w:val="single" w:sz="12" w:space="0" w:color="auto"/>
              <w:right w:val="single" w:sz="4" w:space="0" w:color="auto"/>
            </w:tcBorders>
            <w:vAlign w:val="center"/>
          </w:tcPr>
          <w:p w:rsidR="00E37845" w:rsidRDefault="00E37845">
            <w:pPr>
              <w:adjustRightInd w:val="0"/>
              <w:snapToGrid w:val="0"/>
              <w:spacing w:beforeLines="50" w:before="156" w:after="330"/>
              <w:ind w:firstLineChars="200" w:firstLine="480"/>
              <w:jc w:val="center"/>
              <w:outlineLvl w:val="0"/>
              <w:rPr>
                <w:rFonts w:ascii="仿宋_GB2312" w:eastAsia="仿宋_GB2312" w:hAnsi="仿宋_GB2312" w:cs="仿宋_GB2312"/>
                <w:color w:val="000000" w:themeColor="text1"/>
                <w:kern w:val="0"/>
                <w:sz w:val="24"/>
                <w:szCs w:val="24"/>
              </w:rPr>
            </w:pPr>
          </w:p>
        </w:tc>
        <w:tc>
          <w:tcPr>
            <w:tcW w:w="2971" w:type="dxa"/>
            <w:tcBorders>
              <w:top w:val="single" w:sz="4" w:space="0" w:color="auto"/>
              <w:left w:val="single" w:sz="4" w:space="0" w:color="auto"/>
              <w:bottom w:val="single" w:sz="12" w:space="0" w:color="auto"/>
              <w:right w:val="single" w:sz="12" w:space="0" w:color="auto"/>
            </w:tcBorders>
            <w:vAlign w:val="center"/>
          </w:tcPr>
          <w:p w:rsidR="00E37845" w:rsidRDefault="00E37845">
            <w:pPr>
              <w:adjustRightInd w:val="0"/>
              <w:snapToGrid w:val="0"/>
              <w:spacing w:beforeLines="50" w:before="156" w:after="330"/>
              <w:ind w:firstLineChars="200" w:firstLine="480"/>
              <w:jc w:val="center"/>
              <w:outlineLvl w:val="0"/>
              <w:rPr>
                <w:rFonts w:ascii="仿宋_GB2312" w:eastAsia="仿宋_GB2312" w:hAnsi="仿宋_GB2312" w:cs="仿宋_GB2312"/>
                <w:color w:val="000000" w:themeColor="text1"/>
                <w:kern w:val="0"/>
                <w:sz w:val="24"/>
                <w:szCs w:val="24"/>
              </w:rPr>
            </w:pPr>
          </w:p>
        </w:tc>
      </w:tr>
    </w:tbl>
    <w:p w:rsidR="00E37845" w:rsidRDefault="00E37845">
      <w:pPr>
        <w:pStyle w:val="a3"/>
        <w:adjustRightInd w:val="0"/>
        <w:snapToGrid w:val="0"/>
        <w:spacing w:beforeLines="0" w:afterLines="0" w:line="360" w:lineRule="auto"/>
        <w:ind w:firstLineChars="200" w:firstLine="360"/>
        <w:rPr>
          <w:rFonts w:ascii="仿宋_GB2312" w:eastAsia="仿宋_GB2312" w:hAnsi="仿宋_GB2312" w:cs="仿宋_GB2312"/>
          <w:color w:val="000000" w:themeColor="text1"/>
          <w:sz w:val="18"/>
          <w:szCs w:val="18"/>
        </w:rPr>
      </w:pPr>
    </w:p>
    <w:p w:rsidR="00E37845" w:rsidRDefault="00E22BDD">
      <w:pPr>
        <w:pStyle w:val="a3"/>
        <w:adjustRightInd w:val="0"/>
        <w:snapToGrid w:val="0"/>
        <w:spacing w:beforeLines="0" w:afterLines="0" w:line="360" w:lineRule="auto"/>
        <w:rPr>
          <w:rFonts w:ascii="仿宋_GB2312" w:eastAsia="仿宋_GB2312" w:hAnsi="仿宋_GB2312" w:cs="仿宋_GB2312"/>
          <w:b/>
          <w:bCs/>
          <w:color w:val="000000" w:themeColor="text1"/>
          <w:sz w:val="28"/>
          <w:szCs w:val="28"/>
        </w:rPr>
      </w:pPr>
      <w:r>
        <w:rPr>
          <w:rFonts w:ascii="仿宋_GB2312" w:eastAsia="仿宋_GB2312" w:hAnsi="仿宋_GB2312" w:cs="仿宋_GB2312" w:hint="eastAsia"/>
          <w:b/>
          <w:bCs/>
          <w:color w:val="000000" w:themeColor="text1"/>
          <w:sz w:val="28"/>
          <w:szCs w:val="28"/>
        </w:rPr>
        <w:t>科研机构Ⅱ类</w:t>
      </w:r>
    </w:p>
    <w:tbl>
      <w:tblPr>
        <w:tblStyle w:val="af0"/>
        <w:tblW w:w="9648"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450"/>
        <w:gridCol w:w="3669"/>
        <w:gridCol w:w="2529"/>
      </w:tblGrid>
      <w:tr w:rsidR="00E37845">
        <w:trPr>
          <w:trHeight w:val="567"/>
          <w:jc w:val="center"/>
        </w:trPr>
        <w:tc>
          <w:tcPr>
            <w:tcW w:w="3450" w:type="dxa"/>
            <w:tcBorders>
              <w:top w:val="single" w:sz="12" w:space="0" w:color="auto"/>
              <w:left w:val="single" w:sz="12" w:space="0" w:color="auto"/>
              <w:bottom w:val="single" w:sz="4" w:space="0" w:color="auto"/>
              <w:right w:val="single" w:sz="4"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岭南统计科学研究院</w:t>
            </w:r>
          </w:p>
        </w:tc>
        <w:tc>
          <w:tcPr>
            <w:tcW w:w="3669" w:type="dxa"/>
            <w:tcBorders>
              <w:top w:val="single" w:sz="12" w:space="0" w:color="auto"/>
              <w:left w:val="single" w:sz="4" w:space="0" w:color="auto"/>
              <w:bottom w:val="single" w:sz="4" w:space="0" w:color="auto"/>
              <w:right w:val="single" w:sz="4"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粤港澳大湾区经济研究中心</w:t>
            </w:r>
          </w:p>
        </w:tc>
        <w:tc>
          <w:tcPr>
            <w:tcW w:w="2529" w:type="dxa"/>
            <w:tcBorders>
              <w:top w:val="single" w:sz="12" w:space="0" w:color="auto"/>
              <w:left w:val="single" w:sz="4" w:space="0" w:color="auto"/>
              <w:bottom w:val="single" w:sz="4" w:space="0" w:color="auto"/>
              <w:right w:val="single" w:sz="12"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公法研究中心</w:t>
            </w:r>
          </w:p>
        </w:tc>
      </w:tr>
      <w:tr w:rsidR="00E37845">
        <w:trPr>
          <w:trHeight w:val="567"/>
          <w:jc w:val="center"/>
        </w:trPr>
        <w:tc>
          <w:tcPr>
            <w:tcW w:w="3450" w:type="dxa"/>
            <w:tcBorders>
              <w:top w:val="single" w:sz="4" w:space="0" w:color="auto"/>
              <w:left w:val="single" w:sz="12" w:space="0" w:color="auto"/>
              <w:bottom w:val="single" w:sz="4" w:space="0" w:color="auto"/>
              <w:right w:val="single" w:sz="4"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广东省中国特色社会主义理论体系研究中心广州大学基地</w:t>
            </w:r>
          </w:p>
        </w:tc>
        <w:tc>
          <w:tcPr>
            <w:tcW w:w="3669"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心理与脑科学研究中心</w:t>
            </w:r>
          </w:p>
        </w:tc>
        <w:tc>
          <w:tcPr>
            <w:tcW w:w="2529" w:type="dxa"/>
            <w:tcBorders>
              <w:top w:val="single" w:sz="4" w:space="0" w:color="auto"/>
              <w:left w:val="single" w:sz="4" w:space="0" w:color="auto"/>
              <w:bottom w:val="single" w:sz="4" w:space="0" w:color="auto"/>
              <w:right w:val="single" w:sz="12"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高等教育研究所</w:t>
            </w:r>
          </w:p>
        </w:tc>
      </w:tr>
      <w:tr w:rsidR="00E37845">
        <w:trPr>
          <w:trHeight w:val="567"/>
          <w:jc w:val="center"/>
        </w:trPr>
        <w:tc>
          <w:tcPr>
            <w:tcW w:w="3450" w:type="dxa"/>
            <w:tcBorders>
              <w:top w:val="single" w:sz="4" w:space="0" w:color="auto"/>
              <w:left w:val="single" w:sz="12" w:space="0" w:color="auto"/>
              <w:bottom w:val="single" w:sz="4" w:space="0" w:color="auto"/>
              <w:right w:val="single" w:sz="4"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广州十三行研究中心</w:t>
            </w:r>
          </w:p>
        </w:tc>
        <w:tc>
          <w:tcPr>
            <w:tcW w:w="3669"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文学思想研究中心</w:t>
            </w:r>
          </w:p>
        </w:tc>
        <w:tc>
          <w:tcPr>
            <w:tcW w:w="2529" w:type="dxa"/>
            <w:tcBorders>
              <w:top w:val="single" w:sz="4" w:space="0" w:color="auto"/>
              <w:left w:val="single" w:sz="4" w:space="0" w:color="auto"/>
              <w:bottom w:val="single" w:sz="4" w:space="0" w:color="auto"/>
              <w:right w:val="single" w:sz="12"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广府文化研究中心</w:t>
            </w:r>
          </w:p>
        </w:tc>
      </w:tr>
      <w:tr w:rsidR="00E37845">
        <w:trPr>
          <w:trHeight w:val="567"/>
          <w:jc w:val="center"/>
        </w:trPr>
        <w:tc>
          <w:tcPr>
            <w:tcW w:w="3450" w:type="dxa"/>
            <w:tcBorders>
              <w:top w:val="single" w:sz="4" w:space="0" w:color="auto"/>
              <w:left w:val="single" w:sz="12" w:space="0" w:color="auto"/>
              <w:bottom w:val="single" w:sz="4" w:space="0" w:color="auto"/>
              <w:right w:val="single" w:sz="4"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语言服务研究中心</w:t>
            </w:r>
          </w:p>
        </w:tc>
        <w:tc>
          <w:tcPr>
            <w:tcW w:w="3669"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电子商务研究院</w:t>
            </w:r>
          </w:p>
        </w:tc>
        <w:tc>
          <w:tcPr>
            <w:tcW w:w="2529" w:type="dxa"/>
            <w:tcBorders>
              <w:top w:val="single" w:sz="4" w:space="0" w:color="auto"/>
              <w:left w:val="single" w:sz="4" w:space="0" w:color="auto"/>
              <w:bottom w:val="single" w:sz="4" w:space="0" w:color="auto"/>
              <w:right w:val="single" w:sz="12"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廉政研究中心</w:t>
            </w:r>
          </w:p>
        </w:tc>
      </w:tr>
      <w:tr w:rsidR="00E37845">
        <w:trPr>
          <w:trHeight w:val="567"/>
          <w:jc w:val="center"/>
        </w:trPr>
        <w:tc>
          <w:tcPr>
            <w:tcW w:w="3450" w:type="dxa"/>
            <w:tcBorders>
              <w:top w:val="single" w:sz="4" w:space="0" w:color="auto"/>
              <w:left w:val="single" w:sz="12" w:space="0" w:color="auto"/>
              <w:bottom w:val="single" w:sz="4" w:space="0" w:color="auto"/>
              <w:right w:val="single" w:sz="4"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艺术创作研究中心</w:t>
            </w:r>
          </w:p>
        </w:tc>
        <w:tc>
          <w:tcPr>
            <w:tcW w:w="3669"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奇异波研究中心</w:t>
            </w:r>
          </w:p>
        </w:tc>
        <w:tc>
          <w:tcPr>
            <w:tcW w:w="2529" w:type="dxa"/>
            <w:tcBorders>
              <w:top w:val="single" w:sz="4" w:space="0" w:color="auto"/>
              <w:left w:val="single" w:sz="4" w:space="0" w:color="auto"/>
              <w:bottom w:val="single" w:sz="4" w:space="0" w:color="auto"/>
              <w:right w:val="single" w:sz="12"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能源与催化研究所</w:t>
            </w:r>
          </w:p>
        </w:tc>
      </w:tr>
      <w:tr w:rsidR="00E37845">
        <w:trPr>
          <w:trHeight w:val="567"/>
          <w:jc w:val="center"/>
        </w:trPr>
        <w:tc>
          <w:tcPr>
            <w:tcW w:w="3450" w:type="dxa"/>
            <w:tcBorders>
              <w:top w:val="single" w:sz="4" w:space="0" w:color="auto"/>
              <w:left w:val="single" w:sz="12" w:space="0" w:color="auto"/>
              <w:bottom w:val="single" w:sz="4" w:space="0" w:color="auto"/>
              <w:right w:val="single" w:sz="4"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分析科学技术研究中心</w:t>
            </w:r>
          </w:p>
        </w:tc>
        <w:tc>
          <w:tcPr>
            <w:tcW w:w="3669"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精细化工研究所</w:t>
            </w:r>
          </w:p>
        </w:tc>
        <w:tc>
          <w:tcPr>
            <w:tcW w:w="2529" w:type="dxa"/>
            <w:tcBorders>
              <w:top w:val="single" w:sz="4" w:space="0" w:color="auto"/>
              <w:left w:val="single" w:sz="4" w:space="0" w:color="auto"/>
              <w:bottom w:val="single" w:sz="4" w:space="0" w:color="auto"/>
              <w:right w:val="single" w:sz="12"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天体物理中心</w:t>
            </w:r>
          </w:p>
        </w:tc>
      </w:tr>
      <w:tr w:rsidR="00E37845">
        <w:trPr>
          <w:trHeight w:val="567"/>
          <w:jc w:val="center"/>
        </w:trPr>
        <w:tc>
          <w:tcPr>
            <w:tcW w:w="3450" w:type="dxa"/>
            <w:tcBorders>
              <w:top w:val="single" w:sz="4" w:space="0" w:color="auto"/>
              <w:left w:val="single" w:sz="12" w:space="0" w:color="auto"/>
              <w:bottom w:val="single" w:sz="4" w:space="0" w:color="auto"/>
              <w:right w:val="single" w:sz="4"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基因干扰与应用研究所</w:t>
            </w:r>
          </w:p>
        </w:tc>
        <w:tc>
          <w:tcPr>
            <w:tcW w:w="3669"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作物抗逆国际合作研究中心</w:t>
            </w:r>
          </w:p>
        </w:tc>
        <w:tc>
          <w:tcPr>
            <w:tcW w:w="2529" w:type="dxa"/>
            <w:tcBorders>
              <w:top w:val="single" w:sz="4" w:space="0" w:color="auto"/>
              <w:left w:val="single" w:sz="4" w:space="0" w:color="auto"/>
              <w:bottom w:val="single" w:sz="4" w:space="0" w:color="auto"/>
              <w:right w:val="single" w:sz="12"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精准基因编辑工程</w:t>
            </w:r>
            <w:r>
              <w:rPr>
                <w:rFonts w:ascii="仿宋_GB2312" w:eastAsia="仿宋_GB2312" w:hAnsi="仿宋_GB2312" w:cs="仿宋_GB2312" w:hint="eastAsia"/>
                <w:color w:val="000000" w:themeColor="text1"/>
                <w:kern w:val="0"/>
                <w:sz w:val="24"/>
                <w:szCs w:val="24"/>
              </w:rPr>
              <w:br/>
              <w:t>中心</w:t>
            </w:r>
          </w:p>
        </w:tc>
      </w:tr>
      <w:tr w:rsidR="00E37845">
        <w:trPr>
          <w:trHeight w:val="567"/>
          <w:jc w:val="center"/>
        </w:trPr>
        <w:tc>
          <w:tcPr>
            <w:tcW w:w="3450" w:type="dxa"/>
            <w:tcBorders>
              <w:top w:val="single" w:sz="4" w:space="0" w:color="auto"/>
              <w:left w:val="single" w:sz="12" w:space="0" w:color="auto"/>
              <w:bottom w:val="single" w:sz="4" w:space="0" w:color="auto"/>
              <w:right w:val="single" w:sz="4"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分子遗传与进化创新研究中心</w:t>
            </w:r>
          </w:p>
        </w:tc>
        <w:tc>
          <w:tcPr>
            <w:tcW w:w="3669"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智能装备与网联系统研究中心</w:t>
            </w:r>
          </w:p>
        </w:tc>
        <w:tc>
          <w:tcPr>
            <w:tcW w:w="2529" w:type="dxa"/>
            <w:tcBorders>
              <w:top w:val="single" w:sz="4" w:space="0" w:color="auto"/>
              <w:left w:val="single" w:sz="4" w:space="0" w:color="auto"/>
              <w:bottom w:val="single" w:sz="4" w:space="0" w:color="auto"/>
              <w:right w:val="single" w:sz="12"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声光视讯技术研究所</w:t>
            </w:r>
          </w:p>
        </w:tc>
      </w:tr>
      <w:tr w:rsidR="00E37845">
        <w:trPr>
          <w:trHeight w:val="567"/>
          <w:jc w:val="center"/>
        </w:trPr>
        <w:tc>
          <w:tcPr>
            <w:tcW w:w="3450" w:type="dxa"/>
            <w:tcBorders>
              <w:top w:val="single" w:sz="4" w:space="0" w:color="auto"/>
              <w:left w:val="single" w:sz="12" w:space="0" w:color="auto"/>
              <w:bottom w:val="single" w:sz="4" w:space="0" w:color="auto"/>
              <w:right w:val="single" w:sz="4"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建筑节能研究院</w:t>
            </w:r>
          </w:p>
        </w:tc>
        <w:tc>
          <w:tcPr>
            <w:tcW w:w="3669"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绿色建筑材料工程技术研究中心</w:t>
            </w:r>
          </w:p>
        </w:tc>
        <w:tc>
          <w:tcPr>
            <w:tcW w:w="2529" w:type="dxa"/>
            <w:tcBorders>
              <w:top w:val="single" w:sz="4" w:space="0" w:color="auto"/>
              <w:left w:val="single" w:sz="4" w:space="0" w:color="auto"/>
              <w:bottom w:val="single" w:sz="4" w:space="0" w:color="auto"/>
              <w:right w:val="single" w:sz="12"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地下工程与地质灾害研究中心</w:t>
            </w:r>
          </w:p>
        </w:tc>
      </w:tr>
      <w:tr w:rsidR="00E37845">
        <w:trPr>
          <w:trHeight w:val="567"/>
          <w:jc w:val="center"/>
        </w:trPr>
        <w:tc>
          <w:tcPr>
            <w:tcW w:w="3450" w:type="dxa"/>
            <w:tcBorders>
              <w:top w:val="single" w:sz="4" w:space="0" w:color="auto"/>
              <w:left w:val="single" w:sz="12" w:space="0" w:color="auto"/>
              <w:bottom w:val="single" w:sz="4" w:space="0" w:color="auto"/>
              <w:right w:val="single" w:sz="4"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广州大学</w:t>
            </w:r>
            <w:r>
              <w:rPr>
                <w:rFonts w:ascii="仿宋_GB2312" w:eastAsia="仿宋_GB2312" w:hAnsi="仿宋_GB2312" w:cs="仿宋_GB2312"/>
                <w:color w:val="000000" w:themeColor="text1"/>
                <w:kern w:val="0"/>
                <w:sz w:val="24"/>
                <w:szCs w:val="24"/>
              </w:rPr>
              <w:t>-林雪平大学城市可持续发展研究中心</w:t>
            </w:r>
          </w:p>
        </w:tc>
        <w:tc>
          <w:tcPr>
            <w:tcW w:w="3669"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创业研究院</w:t>
            </w:r>
          </w:p>
        </w:tc>
        <w:tc>
          <w:tcPr>
            <w:tcW w:w="2529" w:type="dxa"/>
            <w:tcBorders>
              <w:top w:val="single" w:sz="4" w:space="0" w:color="auto"/>
              <w:left w:val="single" w:sz="4" w:space="0" w:color="auto"/>
              <w:bottom w:val="single" w:sz="4" w:space="0" w:color="auto"/>
              <w:right w:val="single" w:sz="12"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广州城市民族关系</w:t>
            </w:r>
            <w:r>
              <w:rPr>
                <w:rFonts w:ascii="仿宋_GB2312" w:eastAsia="仿宋_GB2312" w:hAnsi="仿宋_GB2312" w:cs="仿宋_GB2312" w:hint="eastAsia"/>
                <w:color w:val="000000" w:themeColor="text1"/>
                <w:kern w:val="0"/>
                <w:sz w:val="24"/>
                <w:szCs w:val="24"/>
              </w:rPr>
              <w:br/>
              <w:t>研究中心</w:t>
            </w:r>
          </w:p>
        </w:tc>
      </w:tr>
      <w:tr w:rsidR="00E37845">
        <w:trPr>
          <w:trHeight w:val="567"/>
          <w:jc w:val="center"/>
        </w:trPr>
        <w:tc>
          <w:tcPr>
            <w:tcW w:w="3450" w:type="dxa"/>
            <w:tcBorders>
              <w:top w:val="single" w:sz="4" w:space="0" w:color="auto"/>
              <w:left w:val="single" w:sz="12" w:space="0" w:color="auto"/>
              <w:bottom w:val="single" w:sz="4" w:space="0" w:color="auto"/>
              <w:right w:val="single" w:sz="4"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民族教育研究中心</w:t>
            </w:r>
          </w:p>
        </w:tc>
        <w:tc>
          <w:tcPr>
            <w:tcW w:w="3669"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before="156" w:after="62"/>
              <w:ind w:firstLineChars="200" w:firstLine="480"/>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新结构经济学研究中心</w:t>
            </w:r>
          </w:p>
        </w:tc>
        <w:tc>
          <w:tcPr>
            <w:tcW w:w="2529" w:type="dxa"/>
            <w:tcBorders>
              <w:top w:val="single" w:sz="4" w:space="0" w:color="auto"/>
              <w:left w:val="single" w:sz="4" w:space="0" w:color="auto"/>
              <w:bottom w:val="single" w:sz="4" w:space="0" w:color="auto"/>
              <w:right w:val="single" w:sz="12"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公共安全地理信息</w:t>
            </w:r>
            <w:r>
              <w:rPr>
                <w:rFonts w:ascii="仿宋_GB2312" w:eastAsia="仿宋_GB2312" w:hAnsi="仿宋_GB2312" w:cs="仿宋_GB2312" w:hint="eastAsia"/>
                <w:color w:val="000000" w:themeColor="text1"/>
                <w:kern w:val="0"/>
                <w:sz w:val="24"/>
                <w:szCs w:val="24"/>
              </w:rPr>
              <w:br/>
              <w:t>分析中心</w:t>
            </w:r>
          </w:p>
        </w:tc>
      </w:tr>
      <w:tr w:rsidR="00E37845">
        <w:trPr>
          <w:trHeight w:val="567"/>
          <w:jc w:val="center"/>
        </w:trPr>
        <w:tc>
          <w:tcPr>
            <w:tcW w:w="3450" w:type="dxa"/>
            <w:tcBorders>
              <w:top w:val="single" w:sz="4" w:space="0" w:color="auto"/>
              <w:left w:val="single" w:sz="12" w:space="0" w:color="auto"/>
              <w:bottom w:val="single" w:sz="4" w:space="0" w:color="auto"/>
              <w:right w:val="single" w:sz="4" w:space="0" w:color="auto"/>
            </w:tcBorders>
            <w:vAlign w:val="center"/>
          </w:tcPr>
          <w:p w:rsidR="00E37845" w:rsidRDefault="00E22BDD">
            <w:pPr>
              <w:adjustRightInd w:val="0"/>
              <w:snapToGrid w:val="0"/>
              <w:spacing w:before="156"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防护工程研究中心</w:t>
            </w:r>
          </w:p>
        </w:tc>
        <w:tc>
          <w:tcPr>
            <w:tcW w:w="3669" w:type="dxa"/>
            <w:tcBorders>
              <w:top w:val="single" w:sz="4" w:space="0" w:color="auto"/>
              <w:left w:val="single" w:sz="4" w:space="0" w:color="auto"/>
              <w:bottom w:val="single" w:sz="4" w:space="0" w:color="auto"/>
              <w:right w:val="single" w:sz="4" w:space="0" w:color="auto"/>
            </w:tcBorders>
            <w:vAlign w:val="center"/>
          </w:tcPr>
          <w:p w:rsidR="00E37845" w:rsidRDefault="00E37845">
            <w:pPr>
              <w:adjustRightInd w:val="0"/>
              <w:snapToGrid w:val="0"/>
              <w:spacing w:before="156" w:after="62"/>
              <w:ind w:firstLineChars="200" w:firstLine="480"/>
              <w:jc w:val="center"/>
              <w:rPr>
                <w:rFonts w:ascii="仿宋_GB2312" w:eastAsia="仿宋_GB2312" w:hAnsi="仿宋_GB2312" w:cs="仿宋_GB2312"/>
                <w:color w:val="000000" w:themeColor="text1"/>
                <w:kern w:val="0"/>
                <w:sz w:val="24"/>
                <w:szCs w:val="24"/>
              </w:rPr>
            </w:pPr>
          </w:p>
        </w:tc>
        <w:tc>
          <w:tcPr>
            <w:tcW w:w="2529" w:type="dxa"/>
            <w:tcBorders>
              <w:top w:val="single" w:sz="4" w:space="0" w:color="auto"/>
              <w:left w:val="single" w:sz="4" w:space="0" w:color="auto"/>
              <w:bottom w:val="single" w:sz="4" w:space="0" w:color="auto"/>
              <w:right w:val="single" w:sz="12" w:space="0" w:color="auto"/>
            </w:tcBorders>
            <w:vAlign w:val="center"/>
          </w:tcPr>
          <w:p w:rsidR="00E37845" w:rsidRDefault="00E37845">
            <w:pPr>
              <w:adjustRightInd w:val="0"/>
              <w:snapToGrid w:val="0"/>
              <w:spacing w:before="156" w:after="62"/>
              <w:ind w:firstLineChars="200" w:firstLine="480"/>
              <w:jc w:val="center"/>
              <w:rPr>
                <w:rFonts w:ascii="仿宋_GB2312" w:eastAsia="仿宋_GB2312" w:hAnsi="仿宋_GB2312" w:cs="仿宋_GB2312"/>
                <w:color w:val="000000" w:themeColor="text1"/>
                <w:kern w:val="0"/>
                <w:sz w:val="24"/>
                <w:szCs w:val="24"/>
              </w:rPr>
            </w:pPr>
          </w:p>
        </w:tc>
      </w:tr>
    </w:tbl>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279" w:name="_Toc6137"/>
      <w:bookmarkStart w:id="2280" w:name="_Toc25961"/>
      <w:bookmarkStart w:id="2281" w:name="_Toc30837"/>
      <w:bookmarkStart w:id="2282" w:name="_Toc519781009"/>
      <w:bookmarkStart w:id="2283" w:name="_Toc10437"/>
      <w:bookmarkStart w:id="2284" w:name="_Toc32306"/>
      <w:bookmarkStart w:id="2285" w:name="_Toc31329"/>
      <w:bookmarkStart w:id="2286" w:name="_Toc1741"/>
      <w:bookmarkStart w:id="2287" w:name="_Toc12076"/>
      <w:bookmarkStart w:id="2288" w:name="_Toc28765"/>
      <w:bookmarkStart w:id="2289" w:name="_Toc14712"/>
      <w:bookmarkStart w:id="2290" w:name="_Toc26887"/>
      <w:bookmarkStart w:id="2291" w:name="_Toc6125"/>
      <w:bookmarkStart w:id="2292" w:name="_Toc5993"/>
      <w:bookmarkStart w:id="2293" w:name="_Toc6027"/>
      <w:bookmarkStart w:id="2294" w:name="_Toc4023"/>
      <w:bookmarkStart w:id="2295" w:name="_Toc7910"/>
      <w:bookmarkStart w:id="2296" w:name="_Toc20634"/>
      <w:bookmarkStart w:id="2297" w:name="_Toc6875"/>
      <w:bookmarkStart w:id="2298" w:name="_Toc1346"/>
      <w:bookmarkStart w:id="2299" w:name="_Toc2569"/>
      <w:bookmarkStart w:id="2300" w:name="_Toc5635"/>
      <w:bookmarkStart w:id="2301" w:name="_Toc27064"/>
      <w:bookmarkStart w:id="2302" w:name="_Toc1896"/>
      <w:bookmarkStart w:id="2303" w:name="_Toc10373"/>
      <w:bookmarkStart w:id="2304" w:name="_Toc6430"/>
      <w:bookmarkStart w:id="2305" w:name="_Toc16393"/>
      <w:bookmarkStart w:id="2306" w:name="_Toc16562"/>
      <w:bookmarkStart w:id="2307" w:name="_Toc26735"/>
      <w:r>
        <w:rPr>
          <w:rFonts w:ascii="黑体" w:eastAsia="黑体" w:hAnsi="黑体" w:cs="黑体" w:hint="eastAsia"/>
          <w:color w:val="000000" w:themeColor="text1"/>
          <w:sz w:val="28"/>
          <w:szCs w:val="28"/>
        </w:rPr>
        <w:lastRenderedPageBreak/>
        <w:t>7.6知识产权</w:t>
      </w:r>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r>
        <w:rPr>
          <w:rFonts w:ascii="黑体" w:eastAsia="黑体" w:hAnsi="黑体" w:cs="黑体" w:hint="eastAsia"/>
          <w:color w:val="000000" w:themeColor="text1"/>
          <w:sz w:val="28"/>
          <w:szCs w:val="28"/>
        </w:rPr>
        <w:t>（详见广大〔2017〕340号）</w:t>
      </w:r>
      <w:bookmarkEnd w:id="2301"/>
      <w:bookmarkEnd w:id="2302"/>
      <w:bookmarkEnd w:id="2303"/>
      <w:bookmarkEnd w:id="2304"/>
      <w:bookmarkEnd w:id="2305"/>
      <w:bookmarkEnd w:id="2306"/>
      <w:bookmarkEnd w:id="2307"/>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（科研处咨询部门：产学研合作办公室张建华</w:t>
      </w:r>
      <w:r>
        <w:rPr>
          <w:rFonts w:ascii="仿宋_GB2312" w:eastAsia="仿宋_GB2312" w:hAnsi="仿宋_GB2312" w:cs="仿宋_GB2312"/>
          <w:color w:val="000000" w:themeColor="text1"/>
        </w:rPr>
        <w:t xml:space="preserve"> TEL：39366268）</w:t>
      </w:r>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知识产权是指依据国家法律、法规规定，或合同约定由学校享有或持有的专利权、商标权、著作权、集成电路布图设计专有权、植物新品种、技术秘密或商业秘密、学校名称等权利。</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308" w:name="_Toc5413"/>
      <w:bookmarkStart w:id="2309" w:name="_Toc16766"/>
      <w:bookmarkStart w:id="2310" w:name="_Toc29468"/>
      <w:bookmarkStart w:id="2311" w:name="_Toc22229"/>
      <w:bookmarkStart w:id="2312" w:name="_Toc6630"/>
      <w:bookmarkStart w:id="2313" w:name="_Toc826"/>
      <w:bookmarkStart w:id="2314" w:name="_Toc20134"/>
      <w:bookmarkStart w:id="2315" w:name="_Toc31852"/>
      <w:bookmarkStart w:id="2316" w:name="_Toc3293"/>
      <w:bookmarkStart w:id="2317" w:name="_Toc24341"/>
      <w:bookmarkStart w:id="2318" w:name="_Toc29465"/>
      <w:bookmarkStart w:id="2319" w:name="_Toc20257"/>
      <w:bookmarkStart w:id="2320" w:name="_Toc24495"/>
      <w:bookmarkStart w:id="2321" w:name="_Toc30406"/>
      <w:bookmarkStart w:id="2322" w:name="_Toc30092"/>
      <w:bookmarkStart w:id="2323" w:name="_Toc29094"/>
      <w:bookmarkStart w:id="2324" w:name="_Toc19883"/>
      <w:bookmarkStart w:id="2325" w:name="_Toc519781010"/>
      <w:bookmarkStart w:id="2326" w:name="_Toc17455"/>
      <w:bookmarkStart w:id="2327" w:name="_Toc6506"/>
      <w:bookmarkStart w:id="2328" w:name="_Toc23210"/>
      <w:bookmarkStart w:id="2329" w:name="_Toc11103"/>
      <w:bookmarkStart w:id="2330" w:name="_Toc11723"/>
      <w:bookmarkStart w:id="2331" w:name="_Toc30256"/>
      <w:bookmarkStart w:id="2332" w:name="_Toc4872"/>
      <w:bookmarkStart w:id="2333" w:name="_Toc5853"/>
      <w:bookmarkStart w:id="2334" w:name="_Toc30209"/>
      <w:bookmarkStart w:id="2335" w:name="_Toc9895"/>
      <w:bookmarkStart w:id="2336" w:name="_Toc1956"/>
      <w:r>
        <w:rPr>
          <w:rFonts w:ascii="黑体" w:eastAsia="黑体" w:hAnsi="黑体" w:cs="黑体" w:hint="eastAsia"/>
          <w:color w:val="000000" w:themeColor="text1"/>
          <w:sz w:val="28"/>
          <w:szCs w:val="28"/>
        </w:rPr>
        <w:t>7.7科研奖励主要类别及申报</w:t>
      </w:r>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p>
    <w:p w:rsidR="00E37845" w:rsidRDefault="00E22BDD">
      <w:pPr>
        <w:pStyle w:val="ListParagraph1"/>
        <w:adjustRightInd w:val="0"/>
        <w:snapToGrid w:val="0"/>
        <w:spacing w:line="360" w:lineRule="auto"/>
        <w:ind w:firstLineChars="100" w:firstLine="24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（科研处咨询部门：平台管理办公室阳运华</w:t>
      </w:r>
      <w:r>
        <w:rPr>
          <w:rFonts w:ascii="仿宋_GB2312" w:eastAsia="仿宋_GB2312" w:hAnsi="仿宋_GB2312" w:cs="仿宋_GB2312"/>
          <w:color w:val="000000" w:themeColor="text1"/>
        </w:rPr>
        <w:t>TEL：39366985）</w:t>
      </w:r>
    </w:p>
    <w:tbl>
      <w:tblPr>
        <w:tblStyle w:val="af0"/>
        <w:tblW w:w="9050"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801"/>
        <w:gridCol w:w="1698"/>
        <w:gridCol w:w="1995"/>
        <w:gridCol w:w="1035"/>
        <w:gridCol w:w="3521"/>
      </w:tblGrid>
      <w:tr w:rsidR="00E37845">
        <w:trPr>
          <w:trHeight w:val="882"/>
          <w:jc w:val="center"/>
        </w:trPr>
        <w:tc>
          <w:tcPr>
            <w:tcW w:w="801" w:type="dxa"/>
            <w:tcBorders>
              <w:top w:val="single" w:sz="12" w:space="0" w:color="auto"/>
              <w:left w:val="single" w:sz="12" w:space="0" w:color="auto"/>
              <w:bottom w:val="single" w:sz="4" w:space="0" w:color="auto"/>
              <w:right w:val="single" w:sz="4" w:space="0" w:color="auto"/>
            </w:tcBorders>
            <w:vAlign w:val="center"/>
          </w:tcPr>
          <w:p w:rsidR="00E37845" w:rsidRDefault="00E22BDD">
            <w:pPr>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序号</w:t>
            </w:r>
          </w:p>
        </w:tc>
        <w:tc>
          <w:tcPr>
            <w:tcW w:w="1698" w:type="dxa"/>
            <w:tcBorders>
              <w:top w:val="single" w:sz="12" w:space="0" w:color="auto"/>
              <w:left w:val="single" w:sz="4" w:space="0" w:color="auto"/>
              <w:bottom w:val="single" w:sz="4" w:space="0" w:color="auto"/>
              <w:right w:val="single" w:sz="4" w:space="0" w:color="auto"/>
            </w:tcBorders>
            <w:vAlign w:val="center"/>
          </w:tcPr>
          <w:p w:rsidR="00E37845" w:rsidRDefault="00E22BDD">
            <w:pPr>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奖励名称</w:t>
            </w:r>
          </w:p>
        </w:tc>
        <w:tc>
          <w:tcPr>
            <w:tcW w:w="1995" w:type="dxa"/>
            <w:tcBorders>
              <w:top w:val="single" w:sz="12" w:space="0" w:color="auto"/>
              <w:left w:val="single" w:sz="4" w:space="0" w:color="auto"/>
              <w:bottom w:val="single" w:sz="4" w:space="0" w:color="auto"/>
              <w:right w:val="single" w:sz="4" w:space="0" w:color="auto"/>
            </w:tcBorders>
            <w:vAlign w:val="center"/>
          </w:tcPr>
          <w:p w:rsidR="00E37845" w:rsidRDefault="00E22BDD">
            <w:pPr>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奖励类别</w:t>
            </w:r>
          </w:p>
        </w:tc>
        <w:tc>
          <w:tcPr>
            <w:tcW w:w="1035" w:type="dxa"/>
            <w:tcBorders>
              <w:top w:val="single" w:sz="12" w:space="0" w:color="auto"/>
              <w:left w:val="single" w:sz="4" w:space="0" w:color="auto"/>
              <w:bottom w:val="single" w:sz="4" w:space="0" w:color="auto"/>
              <w:right w:val="single" w:sz="4" w:space="0" w:color="auto"/>
            </w:tcBorders>
            <w:vAlign w:val="center"/>
          </w:tcPr>
          <w:p w:rsidR="00E37845" w:rsidRDefault="00E22BDD">
            <w:pPr>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推荐</w:t>
            </w:r>
          </w:p>
          <w:p w:rsidR="00E37845" w:rsidRDefault="00E22BDD">
            <w:pPr>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时间</w:t>
            </w:r>
          </w:p>
        </w:tc>
        <w:tc>
          <w:tcPr>
            <w:tcW w:w="3521" w:type="dxa"/>
            <w:tcBorders>
              <w:top w:val="single" w:sz="12" w:space="0" w:color="auto"/>
              <w:left w:val="single" w:sz="4" w:space="0" w:color="auto"/>
              <w:bottom w:val="single" w:sz="4" w:space="0" w:color="auto"/>
              <w:right w:val="single" w:sz="12" w:space="0" w:color="auto"/>
            </w:tcBorders>
            <w:vAlign w:val="center"/>
          </w:tcPr>
          <w:p w:rsidR="00E37845" w:rsidRDefault="00E22BDD">
            <w:pPr>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评审机构</w:t>
            </w:r>
          </w:p>
        </w:tc>
      </w:tr>
      <w:tr w:rsidR="00E37845">
        <w:trPr>
          <w:jc w:val="center"/>
        </w:trPr>
        <w:tc>
          <w:tcPr>
            <w:tcW w:w="801"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sz w:val="24"/>
                <w:szCs w:val="24"/>
              </w:rPr>
              <w:t>1</w:t>
            </w:r>
          </w:p>
        </w:tc>
        <w:tc>
          <w:tcPr>
            <w:tcW w:w="1698" w:type="dxa"/>
            <w:vMerge w:val="restart"/>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国家科学</w:t>
            </w:r>
          </w:p>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技术奖</w:t>
            </w:r>
          </w:p>
        </w:tc>
        <w:tc>
          <w:tcPr>
            <w:tcW w:w="199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国家最高科学技术奖</w:t>
            </w:r>
          </w:p>
        </w:tc>
        <w:tc>
          <w:tcPr>
            <w:tcW w:w="1035" w:type="dxa"/>
            <w:vMerge w:val="restart"/>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5-6月</w:t>
            </w:r>
          </w:p>
        </w:tc>
        <w:tc>
          <w:tcPr>
            <w:tcW w:w="3521" w:type="dxa"/>
            <w:vMerge w:val="restart"/>
            <w:tcBorders>
              <w:top w:val="single" w:sz="4" w:space="0" w:color="auto"/>
              <w:left w:val="single" w:sz="4" w:space="0" w:color="auto"/>
              <w:bottom w:val="single" w:sz="4" w:space="0" w:color="auto"/>
              <w:right w:val="single" w:sz="12"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国家科学技术奖励工作办公室：</w:t>
            </w:r>
            <w:r>
              <w:rPr>
                <w:rFonts w:ascii="Times New Roman" w:eastAsia="仿宋_GB2312" w:hAnsi="Times New Roman"/>
                <w:color w:val="000000" w:themeColor="text1"/>
                <w:sz w:val="24"/>
                <w:szCs w:val="24"/>
              </w:rPr>
              <w:t>http://www.nosta.gov.cn</w:t>
            </w:r>
          </w:p>
        </w:tc>
      </w:tr>
      <w:tr w:rsidR="00E37845">
        <w:trPr>
          <w:jc w:val="center"/>
        </w:trPr>
        <w:tc>
          <w:tcPr>
            <w:tcW w:w="801"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sz w:val="24"/>
                <w:szCs w:val="24"/>
              </w:rPr>
              <w:t>2</w:t>
            </w:r>
          </w:p>
        </w:tc>
        <w:tc>
          <w:tcPr>
            <w:tcW w:w="1698" w:type="dxa"/>
            <w:vMerge/>
            <w:tcBorders>
              <w:top w:val="single" w:sz="4" w:space="0" w:color="auto"/>
              <w:left w:val="single" w:sz="4" w:space="0" w:color="auto"/>
              <w:bottom w:val="single" w:sz="4" w:space="0" w:color="auto"/>
              <w:right w:val="single" w:sz="4"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c>
          <w:tcPr>
            <w:tcW w:w="199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国家自然科学奖</w:t>
            </w:r>
          </w:p>
        </w:tc>
        <w:tc>
          <w:tcPr>
            <w:tcW w:w="1035" w:type="dxa"/>
            <w:vMerge/>
            <w:tcBorders>
              <w:top w:val="single" w:sz="4" w:space="0" w:color="auto"/>
              <w:left w:val="single" w:sz="4" w:space="0" w:color="auto"/>
              <w:bottom w:val="single" w:sz="4" w:space="0" w:color="auto"/>
              <w:right w:val="single" w:sz="4"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c>
          <w:tcPr>
            <w:tcW w:w="3521" w:type="dxa"/>
            <w:vMerge/>
            <w:tcBorders>
              <w:top w:val="single" w:sz="4" w:space="0" w:color="auto"/>
              <w:left w:val="single" w:sz="4" w:space="0" w:color="auto"/>
              <w:bottom w:val="single" w:sz="4" w:space="0" w:color="auto"/>
              <w:right w:val="single" w:sz="12"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r>
      <w:tr w:rsidR="00E37845">
        <w:trPr>
          <w:jc w:val="center"/>
        </w:trPr>
        <w:tc>
          <w:tcPr>
            <w:tcW w:w="801"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sz w:val="24"/>
                <w:szCs w:val="24"/>
              </w:rPr>
              <w:t>3</w:t>
            </w:r>
          </w:p>
        </w:tc>
        <w:tc>
          <w:tcPr>
            <w:tcW w:w="1698" w:type="dxa"/>
            <w:vMerge/>
            <w:tcBorders>
              <w:top w:val="single" w:sz="4" w:space="0" w:color="auto"/>
              <w:left w:val="single" w:sz="4" w:space="0" w:color="auto"/>
              <w:bottom w:val="single" w:sz="4" w:space="0" w:color="auto"/>
              <w:right w:val="single" w:sz="4"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c>
          <w:tcPr>
            <w:tcW w:w="199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国家技术发明奖</w:t>
            </w:r>
          </w:p>
        </w:tc>
        <w:tc>
          <w:tcPr>
            <w:tcW w:w="1035" w:type="dxa"/>
            <w:vMerge/>
            <w:tcBorders>
              <w:top w:val="single" w:sz="4" w:space="0" w:color="auto"/>
              <w:left w:val="single" w:sz="4" w:space="0" w:color="auto"/>
              <w:bottom w:val="single" w:sz="4" w:space="0" w:color="auto"/>
              <w:right w:val="single" w:sz="4"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c>
          <w:tcPr>
            <w:tcW w:w="3521" w:type="dxa"/>
            <w:vMerge/>
            <w:tcBorders>
              <w:top w:val="single" w:sz="4" w:space="0" w:color="auto"/>
              <w:left w:val="single" w:sz="4" w:space="0" w:color="auto"/>
              <w:bottom w:val="single" w:sz="4" w:space="0" w:color="auto"/>
              <w:right w:val="single" w:sz="12"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r>
      <w:tr w:rsidR="00E37845">
        <w:trPr>
          <w:jc w:val="center"/>
        </w:trPr>
        <w:tc>
          <w:tcPr>
            <w:tcW w:w="801"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sz w:val="24"/>
                <w:szCs w:val="24"/>
              </w:rPr>
              <w:t>4</w:t>
            </w:r>
          </w:p>
        </w:tc>
        <w:tc>
          <w:tcPr>
            <w:tcW w:w="1698" w:type="dxa"/>
            <w:vMerge/>
            <w:tcBorders>
              <w:top w:val="single" w:sz="4" w:space="0" w:color="auto"/>
              <w:left w:val="single" w:sz="4" w:space="0" w:color="auto"/>
              <w:bottom w:val="single" w:sz="4" w:space="0" w:color="auto"/>
              <w:right w:val="single" w:sz="4"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c>
          <w:tcPr>
            <w:tcW w:w="199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国家科学技术进步奖</w:t>
            </w:r>
          </w:p>
        </w:tc>
        <w:tc>
          <w:tcPr>
            <w:tcW w:w="1035" w:type="dxa"/>
            <w:vMerge/>
            <w:tcBorders>
              <w:top w:val="single" w:sz="4" w:space="0" w:color="auto"/>
              <w:left w:val="single" w:sz="4" w:space="0" w:color="auto"/>
              <w:bottom w:val="single" w:sz="4" w:space="0" w:color="auto"/>
              <w:right w:val="single" w:sz="4"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c>
          <w:tcPr>
            <w:tcW w:w="3521" w:type="dxa"/>
            <w:vMerge/>
            <w:tcBorders>
              <w:top w:val="single" w:sz="4" w:space="0" w:color="auto"/>
              <w:left w:val="single" w:sz="4" w:space="0" w:color="auto"/>
              <w:bottom w:val="single" w:sz="4" w:space="0" w:color="auto"/>
              <w:right w:val="single" w:sz="12"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r>
      <w:tr w:rsidR="00E37845">
        <w:trPr>
          <w:jc w:val="center"/>
        </w:trPr>
        <w:tc>
          <w:tcPr>
            <w:tcW w:w="801"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sz w:val="24"/>
                <w:szCs w:val="24"/>
              </w:rPr>
              <w:t>5</w:t>
            </w:r>
          </w:p>
        </w:tc>
        <w:tc>
          <w:tcPr>
            <w:tcW w:w="1698" w:type="dxa"/>
            <w:vMerge/>
            <w:tcBorders>
              <w:top w:val="single" w:sz="4" w:space="0" w:color="auto"/>
              <w:left w:val="single" w:sz="4" w:space="0" w:color="auto"/>
              <w:bottom w:val="single" w:sz="4" w:space="0" w:color="auto"/>
              <w:right w:val="single" w:sz="4"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c>
          <w:tcPr>
            <w:tcW w:w="199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国际科技合作奖</w:t>
            </w:r>
          </w:p>
        </w:tc>
        <w:tc>
          <w:tcPr>
            <w:tcW w:w="1035" w:type="dxa"/>
            <w:vMerge/>
            <w:tcBorders>
              <w:top w:val="single" w:sz="4" w:space="0" w:color="auto"/>
              <w:left w:val="single" w:sz="4" w:space="0" w:color="auto"/>
              <w:bottom w:val="single" w:sz="4" w:space="0" w:color="auto"/>
              <w:right w:val="single" w:sz="4"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c>
          <w:tcPr>
            <w:tcW w:w="3521" w:type="dxa"/>
            <w:vMerge/>
            <w:tcBorders>
              <w:top w:val="single" w:sz="4" w:space="0" w:color="auto"/>
              <w:left w:val="single" w:sz="4" w:space="0" w:color="auto"/>
              <w:bottom w:val="single" w:sz="4" w:space="0" w:color="auto"/>
              <w:right w:val="single" w:sz="12"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r>
      <w:tr w:rsidR="00E37845">
        <w:trPr>
          <w:jc w:val="center"/>
        </w:trPr>
        <w:tc>
          <w:tcPr>
            <w:tcW w:w="801"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sz w:val="24"/>
                <w:szCs w:val="24"/>
              </w:rPr>
              <w:t>6</w:t>
            </w:r>
          </w:p>
        </w:tc>
        <w:tc>
          <w:tcPr>
            <w:tcW w:w="1698" w:type="dxa"/>
            <w:vMerge w:val="restart"/>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教育部高等学校科学研究优秀成果奖（科学技术）</w:t>
            </w:r>
          </w:p>
        </w:tc>
        <w:tc>
          <w:tcPr>
            <w:tcW w:w="199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自然科学奖</w:t>
            </w:r>
          </w:p>
        </w:tc>
        <w:tc>
          <w:tcPr>
            <w:tcW w:w="1035" w:type="dxa"/>
            <w:vMerge w:val="restart"/>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5-6月</w:t>
            </w:r>
          </w:p>
        </w:tc>
        <w:tc>
          <w:tcPr>
            <w:tcW w:w="3521" w:type="dxa"/>
            <w:vMerge w:val="restart"/>
            <w:tcBorders>
              <w:top w:val="single" w:sz="4" w:space="0" w:color="auto"/>
              <w:left w:val="single" w:sz="4" w:space="0" w:color="auto"/>
              <w:bottom w:val="single" w:sz="4" w:space="0" w:color="auto"/>
              <w:right w:val="single" w:sz="12"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教育部科技发展中心：</w:t>
            </w:r>
            <w:r>
              <w:rPr>
                <w:rFonts w:ascii="Times New Roman" w:eastAsia="仿宋_GB2312" w:hAnsi="Times New Roman"/>
                <w:color w:val="000000" w:themeColor="text1"/>
                <w:sz w:val="24"/>
                <w:szCs w:val="24"/>
              </w:rPr>
              <w:t>http://www.cutech.edu.cn/</w:t>
            </w:r>
          </w:p>
        </w:tc>
      </w:tr>
      <w:tr w:rsidR="00E37845">
        <w:trPr>
          <w:jc w:val="center"/>
        </w:trPr>
        <w:tc>
          <w:tcPr>
            <w:tcW w:w="801"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sz w:val="24"/>
                <w:szCs w:val="24"/>
              </w:rPr>
              <w:t>7</w:t>
            </w:r>
          </w:p>
        </w:tc>
        <w:tc>
          <w:tcPr>
            <w:tcW w:w="1698" w:type="dxa"/>
            <w:vMerge/>
            <w:tcBorders>
              <w:top w:val="single" w:sz="4" w:space="0" w:color="auto"/>
              <w:left w:val="single" w:sz="4" w:space="0" w:color="auto"/>
              <w:bottom w:val="single" w:sz="4" w:space="0" w:color="auto"/>
              <w:right w:val="single" w:sz="4"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c>
          <w:tcPr>
            <w:tcW w:w="199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技术发明奖</w:t>
            </w:r>
          </w:p>
        </w:tc>
        <w:tc>
          <w:tcPr>
            <w:tcW w:w="1035" w:type="dxa"/>
            <w:vMerge/>
            <w:tcBorders>
              <w:top w:val="single" w:sz="4" w:space="0" w:color="auto"/>
              <w:left w:val="single" w:sz="4" w:space="0" w:color="auto"/>
              <w:bottom w:val="single" w:sz="4" w:space="0" w:color="auto"/>
              <w:right w:val="single" w:sz="4"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c>
          <w:tcPr>
            <w:tcW w:w="3521" w:type="dxa"/>
            <w:vMerge/>
            <w:tcBorders>
              <w:top w:val="single" w:sz="4" w:space="0" w:color="auto"/>
              <w:left w:val="single" w:sz="4" w:space="0" w:color="auto"/>
              <w:bottom w:val="single" w:sz="4" w:space="0" w:color="auto"/>
              <w:right w:val="single" w:sz="12"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r>
      <w:tr w:rsidR="00E37845">
        <w:trPr>
          <w:jc w:val="center"/>
        </w:trPr>
        <w:tc>
          <w:tcPr>
            <w:tcW w:w="801"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sz w:val="24"/>
                <w:szCs w:val="24"/>
              </w:rPr>
              <w:t>8</w:t>
            </w:r>
          </w:p>
        </w:tc>
        <w:tc>
          <w:tcPr>
            <w:tcW w:w="1698" w:type="dxa"/>
            <w:vMerge/>
            <w:tcBorders>
              <w:top w:val="single" w:sz="4" w:space="0" w:color="auto"/>
              <w:left w:val="single" w:sz="4" w:space="0" w:color="auto"/>
              <w:bottom w:val="single" w:sz="4" w:space="0" w:color="auto"/>
              <w:right w:val="single" w:sz="4"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c>
          <w:tcPr>
            <w:tcW w:w="199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技术进步奖</w:t>
            </w:r>
          </w:p>
        </w:tc>
        <w:tc>
          <w:tcPr>
            <w:tcW w:w="1035" w:type="dxa"/>
            <w:vMerge/>
            <w:tcBorders>
              <w:top w:val="single" w:sz="4" w:space="0" w:color="auto"/>
              <w:left w:val="single" w:sz="4" w:space="0" w:color="auto"/>
              <w:bottom w:val="single" w:sz="4" w:space="0" w:color="auto"/>
              <w:right w:val="single" w:sz="4"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c>
          <w:tcPr>
            <w:tcW w:w="3521" w:type="dxa"/>
            <w:vMerge/>
            <w:tcBorders>
              <w:top w:val="single" w:sz="4" w:space="0" w:color="auto"/>
              <w:left w:val="single" w:sz="4" w:space="0" w:color="auto"/>
              <w:bottom w:val="single" w:sz="4" w:space="0" w:color="auto"/>
              <w:right w:val="single" w:sz="12"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r>
      <w:tr w:rsidR="00E37845">
        <w:trPr>
          <w:jc w:val="center"/>
        </w:trPr>
        <w:tc>
          <w:tcPr>
            <w:tcW w:w="801"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sz w:val="24"/>
                <w:szCs w:val="24"/>
              </w:rPr>
              <w:t>9</w:t>
            </w:r>
          </w:p>
        </w:tc>
        <w:tc>
          <w:tcPr>
            <w:tcW w:w="1698" w:type="dxa"/>
            <w:vMerge/>
            <w:tcBorders>
              <w:top w:val="single" w:sz="4" w:space="0" w:color="auto"/>
              <w:left w:val="single" w:sz="4" w:space="0" w:color="auto"/>
              <w:bottom w:val="single" w:sz="4" w:space="0" w:color="auto"/>
              <w:right w:val="single" w:sz="4"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c>
          <w:tcPr>
            <w:tcW w:w="199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青年科学奖</w:t>
            </w:r>
          </w:p>
        </w:tc>
        <w:tc>
          <w:tcPr>
            <w:tcW w:w="1035" w:type="dxa"/>
            <w:vMerge/>
            <w:tcBorders>
              <w:top w:val="single" w:sz="4" w:space="0" w:color="auto"/>
              <w:left w:val="single" w:sz="4" w:space="0" w:color="auto"/>
              <w:bottom w:val="single" w:sz="4" w:space="0" w:color="auto"/>
              <w:right w:val="single" w:sz="4"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c>
          <w:tcPr>
            <w:tcW w:w="3521" w:type="dxa"/>
            <w:vMerge/>
            <w:tcBorders>
              <w:top w:val="single" w:sz="4" w:space="0" w:color="auto"/>
              <w:left w:val="single" w:sz="4" w:space="0" w:color="auto"/>
              <w:bottom w:val="single" w:sz="4" w:space="0" w:color="auto"/>
              <w:right w:val="single" w:sz="12"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r>
      <w:tr w:rsidR="00E37845">
        <w:trPr>
          <w:jc w:val="center"/>
        </w:trPr>
        <w:tc>
          <w:tcPr>
            <w:tcW w:w="801"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sz w:val="24"/>
                <w:szCs w:val="24"/>
              </w:rPr>
              <w:t>10</w:t>
            </w:r>
          </w:p>
        </w:tc>
        <w:tc>
          <w:tcPr>
            <w:tcW w:w="1698" w:type="dxa"/>
            <w:vMerge w:val="restart"/>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广东省科学技术奖</w:t>
            </w:r>
          </w:p>
        </w:tc>
        <w:tc>
          <w:tcPr>
            <w:tcW w:w="199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突出贡献奖</w:t>
            </w:r>
          </w:p>
        </w:tc>
        <w:tc>
          <w:tcPr>
            <w:tcW w:w="1035" w:type="dxa"/>
            <w:vMerge w:val="restart"/>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4-6月</w:t>
            </w:r>
          </w:p>
        </w:tc>
        <w:tc>
          <w:tcPr>
            <w:tcW w:w="3521" w:type="dxa"/>
            <w:vMerge w:val="restart"/>
            <w:tcBorders>
              <w:top w:val="single" w:sz="4" w:space="0" w:color="auto"/>
              <w:left w:val="single" w:sz="4" w:space="0" w:color="auto"/>
              <w:bottom w:val="single" w:sz="4" w:space="0" w:color="auto"/>
              <w:right w:val="single" w:sz="12"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广东省教育厅：</w:t>
            </w:r>
            <w:r>
              <w:rPr>
                <w:rFonts w:ascii="Times New Roman" w:eastAsia="仿宋_GB2312" w:hAnsi="Times New Roman"/>
                <w:color w:val="000000" w:themeColor="text1"/>
                <w:sz w:val="24"/>
                <w:szCs w:val="24"/>
              </w:rPr>
              <w:t>http://pro.gdstc.gov.cn/</w:t>
            </w:r>
          </w:p>
        </w:tc>
      </w:tr>
      <w:tr w:rsidR="00E37845">
        <w:trPr>
          <w:jc w:val="center"/>
        </w:trPr>
        <w:tc>
          <w:tcPr>
            <w:tcW w:w="801"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sz w:val="24"/>
                <w:szCs w:val="24"/>
              </w:rPr>
              <w:t>11</w:t>
            </w:r>
          </w:p>
        </w:tc>
        <w:tc>
          <w:tcPr>
            <w:tcW w:w="1698" w:type="dxa"/>
            <w:vMerge/>
            <w:tcBorders>
              <w:top w:val="single" w:sz="4" w:space="0" w:color="auto"/>
              <w:left w:val="single" w:sz="4" w:space="0" w:color="auto"/>
              <w:bottom w:val="single" w:sz="4" w:space="0" w:color="auto"/>
              <w:right w:val="single" w:sz="4"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c>
          <w:tcPr>
            <w:tcW w:w="199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自然科学奖</w:t>
            </w:r>
          </w:p>
        </w:tc>
        <w:tc>
          <w:tcPr>
            <w:tcW w:w="1035" w:type="dxa"/>
            <w:vMerge/>
            <w:tcBorders>
              <w:top w:val="single" w:sz="4" w:space="0" w:color="auto"/>
              <w:left w:val="single" w:sz="4" w:space="0" w:color="auto"/>
              <w:bottom w:val="single" w:sz="4" w:space="0" w:color="auto"/>
              <w:right w:val="single" w:sz="4"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c>
          <w:tcPr>
            <w:tcW w:w="3521" w:type="dxa"/>
            <w:vMerge/>
            <w:tcBorders>
              <w:top w:val="single" w:sz="4" w:space="0" w:color="auto"/>
              <w:left w:val="single" w:sz="4" w:space="0" w:color="auto"/>
              <w:bottom w:val="single" w:sz="4" w:space="0" w:color="auto"/>
              <w:right w:val="single" w:sz="12"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r>
      <w:tr w:rsidR="00E37845">
        <w:trPr>
          <w:jc w:val="center"/>
        </w:trPr>
        <w:tc>
          <w:tcPr>
            <w:tcW w:w="801"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sz w:val="24"/>
                <w:szCs w:val="24"/>
              </w:rPr>
              <w:t>12</w:t>
            </w:r>
          </w:p>
        </w:tc>
        <w:tc>
          <w:tcPr>
            <w:tcW w:w="1698" w:type="dxa"/>
            <w:vMerge/>
            <w:tcBorders>
              <w:top w:val="single" w:sz="4" w:space="0" w:color="auto"/>
              <w:left w:val="single" w:sz="4" w:space="0" w:color="auto"/>
              <w:bottom w:val="single" w:sz="4" w:space="0" w:color="auto"/>
              <w:right w:val="single" w:sz="4"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c>
          <w:tcPr>
            <w:tcW w:w="199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技术发明奖</w:t>
            </w:r>
          </w:p>
        </w:tc>
        <w:tc>
          <w:tcPr>
            <w:tcW w:w="1035" w:type="dxa"/>
            <w:vMerge/>
            <w:tcBorders>
              <w:top w:val="single" w:sz="4" w:space="0" w:color="auto"/>
              <w:left w:val="single" w:sz="4" w:space="0" w:color="auto"/>
              <w:bottom w:val="single" w:sz="4" w:space="0" w:color="auto"/>
              <w:right w:val="single" w:sz="4"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c>
          <w:tcPr>
            <w:tcW w:w="3521" w:type="dxa"/>
            <w:vMerge/>
            <w:tcBorders>
              <w:top w:val="single" w:sz="4" w:space="0" w:color="auto"/>
              <w:left w:val="single" w:sz="4" w:space="0" w:color="auto"/>
              <w:bottom w:val="single" w:sz="4" w:space="0" w:color="auto"/>
              <w:right w:val="single" w:sz="12"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r>
      <w:tr w:rsidR="00E37845">
        <w:trPr>
          <w:jc w:val="center"/>
        </w:trPr>
        <w:tc>
          <w:tcPr>
            <w:tcW w:w="801"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sz w:val="24"/>
                <w:szCs w:val="24"/>
              </w:rPr>
              <w:t>13</w:t>
            </w:r>
          </w:p>
        </w:tc>
        <w:tc>
          <w:tcPr>
            <w:tcW w:w="1698" w:type="dxa"/>
            <w:vMerge/>
            <w:tcBorders>
              <w:top w:val="single" w:sz="4" w:space="0" w:color="auto"/>
              <w:left w:val="single" w:sz="4" w:space="0" w:color="auto"/>
              <w:bottom w:val="single" w:sz="4" w:space="0" w:color="auto"/>
              <w:right w:val="single" w:sz="4"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c>
          <w:tcPr>
            <w:tcW w:w="199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科学技术进步奖</w:t>
            </w:r>
          </w:p>
        </w:tc>
        <w:tc>
          <w:tcPr>
            <w:tcW w:w="1035" w:type="dxa"/>
            <w:vMerge/>
            <w:tcBorders>
              <w:top w:val="single" w:sz="4" w:space="0" w:color="auto"/>
              <w:left w:val="single" w:sz="4" w:space="0" w:color="auto"/>
              <w:bottom w:val="single" w:sz="4" w:space="0" w:color="auto"/>
              <w:right w:val="single" w:sz="4"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c>
          <w:tcPr>
            <w:tcW w:w="3521" w:type="dxa"/>
            <w:vMerge/>
            <w:tcBorders>
              <w:top w:val="single" w:sz="4" w:space="0" w:color="auto"/>
              <w:left w:val="single" w:sz="4" w:space="0" w:color="auto"/>
              <w:bottom w:val="single" w:sz="4" w:space="0" w:color="auto"/>
              <w:right w:val="single" w:sz="12"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r>
      <w:tr w:rsidR="00E37845">
        <w:trPr>
          <w:jc w:val="center"/>
        </w:trPr>
        <w:tc>
          <w:tcPr>
            <w:tcW w:w="801" w:type="dxa"/>
            <w:tcBorders>
              <w:top w:val="single" w:sz="4" w:space="0" w:color="auto"/>
              <w:left w:val="single" w:sz="12" w:space="0" w:color="auto"/>
              <w:bottom w:val="single" w:sz="12"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sz w:val="24"/>
                <w:szCs w:val="24"/>
              </w:rPr>
              <w:t>14</w:t>
            </w:r>
          </w:p>
        </w:tc>
        <w:tc>
          <w:tcPr>
            <w:tcW w:w="1698" w:type="dxa"/>
            <w:tcBorders>
              <w:top w:val="single" w:sz="4" w:space="0" w:color="auto"/>
              <w:left w:val="single" w:sz="4" w:space="0" w:color="auto"/>
              <w:bottom w:val="single" w:sz="12" w:space="0" w:color="auto"/>
              <w:right w:val="single" w:sz="4"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各类行业</w:t>
            </w:r>
            <w:r>
              <w:rPr>
                <w:rFonts w:ascii="仿宋_GB2312" w:eastAsia="仿宋_GB2312" w:hAnsi="仿宋_GB2312" w:cs="仿宋_GB2312" w:hint="eastAsia"/>
                <w:color w:val="000000" w:themeColor="text1"/>
                <w:sz w:val="24"/>
                <w:szCs w:val="24"/>
              </w:rPr>
              <w:br/>
              <w:t>协会奖</w:t>
            </w:r>
          </w:p>
        </w:tc>
        <w:tc>
          <w:tcPr>
            <w:tcW w:w="1995" w:type="dxa"/>
            <w:tcBorders>
              <w:top w:val="single" w:sz="4" w:space="0" w:color="auto"/>
              <w:left w:val="single" w:sz="4" w:space="0" w:color="auto"/>
              <w:bottom w:val="single" w:sz="12" w:space="0" w:color="auto"/>
              <w:right w:val="single" w:sz="4"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w:t>
            </w:r>
          </w:p>
        </w:tc>
        <w:tc>
          <w:tcPr>
            <w:tcW w:w="1035" w:type="dxa"/>
            <w:tcBorders>
              <w:top w:val="single" w:sz="4" w:space="0" w:color="auto"/>
              <w:left w:val="single" w:sz="4" w:space="0" w:color="auto"/>
              <w:bottom w:val="single" w:sz="12" w:space="0" w:color="auto"/>
              <w:right w:val="single" w:sz="4"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w:t>
            </w:r>
          </w:p>
        </w:tc>
        <w:tc>
          <w:tcPr>
            <w:tcW w:w="3521" w:type="dxa"/>
            <w:tcBorders>
              <w:top w:val="single" w:sz="4" w:space="0" w:color="auto"/>
              <w:left w:val="single" w:sz="4" w:space="0" w:color="auto"/>
              <w:bottom w:val="single" w:sz="12" w:space="0" w:color="auto"/>
              <w:right w:val="single" w:sz="12" w:space="0" w:color="auto"/>
            </w:tcBorders>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由各行业协会组织</w:t>
            </w:r>
          </w:p>
        </w:tc>
      </w:tr>
    </w:tbl>
    <w:p w:rsidR="00E37845" w:rsidRDefault="00E37845">
      <w:pPr>
        <w:pStyle w:val="ListParagraph1"/>
        <w:adjustRightInd w:val="0"/>
        <w:snapToGrid w:val="0"/>
        <w:spacing w:line="360" w:lineRule="auto"/>
        <w:ind w:firstLine="200"/>
        <w:jc w:val="left"/>
        <w:rPr>
          <w:rFonts w:ascii="仿宋_GB2312" w:eastAsia="仿宋_GB2312" w:hAnsi="仿宋_GB2312" w:cs="仿宋_GB2312"/>
          <w:color w:val="000000" w:themeColor="text1"/>
          <w:sz w:val="10"/>
          <w:szCs w:val="10"/>
        </w:rPr>
      </w:pP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337" w:name="_Toc28689"/>
      <w:bookmarkStart w:id="2338" w:name="_Toc1259"/>
      <w:bookmarkStart w:id="2339" w:name="_Toc31458"/>
      <w:bookmarkStart w:id="2340" w:name="_Toc21128"/>
      <w:bookmarkStart w:id="2341" w:name="_Toc19895"/>
      <w:bookmarkStart w:id="2342" w:name="_Toc18311"/>
      <w:bookmarkStart w:id="2343" w:name="_Toc7819"/>
      <w:bookmarkStart w:id="2344" w:name="_Toc519781011"/>
      <w:bookmarkStart w:id="2345" w:name="_Toc17889"/>
      <w:bookmarkStart w:id="2346" w:name="_Toc3440"/>
      <w:bookmarkStart w:id="2347" w:name="_Toc21486"/>
      <w:bookmarkStart w:id="2348" w:name="_Toc27411"/>
      <w:bookmarkStart w:id="2349" w:name="_Toc26542"/>
      <w:bookmarkStart w:id="2350" w:name="_Toc12856"/>
      <w:bookmarkStart w:id="2351" w:name="_Toc2859"/>
      <w:bookmarkStart w:id="2352" w:name="_Toc31787"/>
      <w:bookmarkStart w:id="2353" w:name="_Toc27526"/>
      <w:bookmarkStart w:id="2354" w:name="_Toc30979"/>
      <w:bookmarkStart w:id="2355" w:name="_Toc7945"/>
      <w:bookmarkStart w:id="2356" w:name="_Toc5113"/>
      <w:bookmarkStart w:id="2357" w:name="_Toc23704"/>
      <w:bookmarkStart w:id="2358" w:name="_Toc7276"/>
      <w:bookmarkStart w:id="2359" w:name="_Toc32263"/>
      <w:bookmarkStart w:id="2360" w:name="_Toc23831"/>
      <w:bookmarkStart w:id="2361" w:name="_Toc4327"/>
      <w:bookmarkStart w:id="2362" w:name="_Toc641"/>
      <w:bookmarkStart w:id="2363" w:name="_Toc24057"/>
      <w:bookmarkStart w:id="2364" w:name="_Toc32418"/>
      <w:bookmarkStart w:id="2365" w:name="_Toc32711"/>
      <w:r>
        <w:rPr>
          <w:rFonts w:ascii="黑体" w:eastAsia="黑体" w:hAnsi="黑体" w:cs="黑体" w:hint="eastAsia"/>
          <w:color w:val="000000" w:themeColor="text1"/>
          <w:sz w:val="28"/>
          <w:szCs w:val="28"/>
        </w:rPr>
        <w:t>7.8突出科研成果和重要平台奖励性绩效管理</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r>
        <w:rPr>
          <w:rFonts w:ascii="黑体" w:eastAsia="黑体" w:hAnsi="黑体" w:cs="黑体" w:hint="eastAsia"/>
          <w:color w:val="000000" w:themeColor="text1"/>
          <w:sz w:val="28"/>
          <w:szCs w:val="28"/>
        </w:rPr>
        <w:t>（详见广大〔2017〕225号）</w:t>
      </w:r>
      <w:bookmarkEnd w:id="2359"/>
      <w:bookmarkEnd w:id="2360"/>
      <w:bookmarkEnd w:id="2361"/>
      <w:bookmarkEnd w:id="2362"/>
      <w:bookmarkEnd w:id="2363"/>
      <w:bookmarkEnd w:id="2364"/>
      <w:bookmarkEnd w:id="2365"/>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（科研处咨询部门：平台管理办公室阳运华、刘娟</w:t>
      </w:r>
      <w:r>
        <w:rPr>
          <w:rFonts w:ascii="仿宋_GB2312" w:eastAsia="仿宋_GB2312" w:hAnsi="仿宋_GB2312" w:cs="仿宋_GB2312"/>
          <w:color w:val="000000" w:themeColor="text1"/>
        </w:rPr>
        <w:t xml:space="preserve"> TEL：39366985）</w:t>
      </w:r>
    </w:p>
    <w:p w:rsidR="00E37845" w:rsidRDefault="00E22BDD">
      <w:pPr>
        <w:pStyle w:val="ListParagraph1"/>
        <w:adjustRightInd w:val="0"/>
        <w:snapToGrid w:val="0"/>
        <w:spacing w:line="360" w:lineRule="auto"/>
        <w:ind w:firstLine="480"/>
        <w:jc w:val="lef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lastRenderedPageBreak/>
        <w:t>学校对获得突出科研成果和重要平台的团队和个人给予支持，设立下列突出科研成果和重要平台奖励性绩效：</w:t>
      </w:r>
      <w:r>
        <w:rPr>
          <w:rFonts w:ascii="仿宋_GB2312" w:eastAsia="仿宋_GB2312" w:hAnsi="仿宋_GB2312" w:cs="仿宋_GB2312"/>
          <w:color w:val="000000" w:themeColor="text1"/>
        </w:rPr>
        <w:t>1.重大科研奖项奖励性绩效；2.突出科研论文奖励性绩效；3.突出知识产权奖励性绩效；4.重要决策咨询奖励性绩效；5.重要艺术创作奖励性绩效；6.重要科研平台奖励性绩效</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366" w:name="_Toc27940"/>
      <w:bookmarkStart w:id="2367" w:name="_Toc30399"/>
      <w:bookmarkStart w:id="2368" w:name="_Toc6577"/>
      <w:bookmarkStart w:id="2369" w:name="_Toc25639"/>
      <w:bookmarkStart w:id="2370" w:name="_Toc18542"/>
      <w:bookmarkStart w:id="2371" w:name="_Toc2089"/>
      <w:bookmarkStart w:id="2372" w:name="_Toc18899"/>
      <w:bookmarkStart w:id="2373" w:name="_Toc6247"/>
      <w:bookmarkStart w:id="2374" w:name="_Toc23245"/>
      <w:bookmarkStart w:id="2375" w:name="_Toc31295"/>
      <w:bookmarkStart w:id="2376" w:name="_Toc15576"/>
      <w:bookmarkStart w:id="2377" w:name="_Toc14894"/>
      <w:bookmarkStart w:id="2378" w:name="_Toc855"/>
      <w:bookmarkStart w:id="2379" w:name="_Toc23171"/>
      <w:bookmarkStart w:id="2380" w:name="_Toc25500"/>
      <w:bookmarkStart w:id="2381" w:name="_Toc22450"/>
      <w:bookmarkStart w:id="2382" w:name="_Toc32084"/>
      <w:bookmarkStart w:id="2383" w:name="_Toc11701"/>
      <w:bookmarkStart w:id="2384" w:name="_Toc1311"/>
      <w:bookmarkStart w:id="2385" w:name="_Toc25219"/>
      <w:bookmarkStart w:id="2386" w:name="_Toc519781012"/>
      <w:bookmarkStart w:id="2387" w:name="_Toc24027"/>
      <w:bookmarkStart w:id="2388" w:name="_Toc19872"/>
      <w:bookmarkStart w:id="2389" w:name="_Toc4271"/>
      <w:bookmarkStart w:id="2390" w:name="_Toc24251"/>
      <w:bookmarkStart w:id="2391" w:name="_Toc24470"/>
      <w:bookmarkStart w:id="2392" w:name="_Toc18785"/>
      <w:bookmarkStart w:id="2393" w:name="_Toc12831"/>
      <w:bookmarkStart w:id="2394" w:name="_Toc5703"/>
      <w:r>
        <w:rPr>
          <w:rFonts w:ascii="黑体" w:eastAsia="黑体" w:hAnsi="黑体" w:cs="黑体" w:hint="eastAsia"/>
          <w:color w:val="000000" w:themeColor="text1"/>
          <w:sz w:val="28"/>
          <w:szCs w:val="28"/>
        </w:rPr>
        <w:t>7.9管理文件一览表</w:t>
      </w:r>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p>
    <w:p w:rsidR="00E37845" w:rsidRDefault="00E22BDD">
      <w:pPr>
        <w:pStyle w:val="a3"/>
        <w:adjustRightInd w:val="0"/>
        <w:snapToGrid w:val="0"/>
        <w:spacing w:beforeLines="0" w:afterLines="0"/>
        <w:ind w:firstLineChars="200" w:firstLine="560"/>
        <w:rPr>
          <w:rFonts w:ascii="黑体" w:hAnsi="黑体" w:cs="黑体"/>
          <w:color w:val="000000" w:themeColor="text1"/>
          <w:sz w:val="28"/>
          <w:szCs w:val="28"/>
        </w:rPr>
      </w:pPr>
      <w:r>
        <w:rPr>
          <w:rFonts w:ascii="黑体" w:hAnsi="黑体" w:cs="黑体" w:hint="eastAsia"/>
          <w:color w:val="000000" w:themeColor="text1"/>
          <w:sz w:val="28"/>
          <w:szCs w:val="28"/>
        </w:rPr>
        <w:t>管理文件一览表</w:t>
      </w:r>
    </w:p>
    <w:tbl>
      <w:tblPr>
        <w:tblStyle w:val="af0"/>
        <w:tblW w:w="8711"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717"/>
        <w:gridCol w:w="6545"/>
        <w:gridCol w:w="1449"/>
      </w:tblGrid>
      <w:tr w:rsidR="00E37845">
        <w:trPr>
          <w:trHeight w:val="443"/>
          <w:jc w:val="center"/>
        </w:trPr>
        <w:tc>
          <w:tcPr>
            <w:tcW w:w="717" w:type="dxa"/>
            <w:tcBorders>
              <w:top w:val="single" w:sz="12" w:space="0" w:color="auto"/>
              <w:left w:val="single" w:sz="12" w:space="0" w:color="auto"/>
              <w:bottom w:val="single" w:sz="4" w:space="0" w:color="auto"/>
              <w:right w:val="single" w:sz="4" w:space="0" w:color="auto"/>
            </w:tcBorders>
            <w:vAlign w:val="center"/>
          </w:tcPr>
          <w:p w:rsidR="00E37845" w:rsidRDefault="00E22BDD">
            <w:pPr>
              <w:jc w:val="center"/>
              <w:rPr>
                <w:rFonts w:eastAsia="Times New Roman"/>
                <w:b/>
                <w:bCs/>
                <w:color w:val="000000" w:themeColor="text1"/>
              </w:rPr>
            </w:pPr>
            <w:r>
              <w:rPr>
                <w:rFonts w:eastAsia="Times New Roman" w:hint="eastAsia"/>
                <w:b/>
                <w:bCs/>
                <w:color w:val="000000" w:themeColor="text1"/>
              </w:rPr>
              <w:t>序号</w:t>
            </w:r>
          </w:p>
        </w:tc>
        <w:tc>
          <w:tcPr>
            <w:tcW w:w="6545" w:type="dxa"/>
            <w:tcBorders>
              <w:top w:val="single" w:sz="12" w:space="0" w:color="auto"/>
              <w:left w:val="single" w:sz="4" w:space="0" w:color="auto"/>
              <w:bottom w:val="single" w:sz="4" w:space="0" w:color="auto"/>
              <w:right w:val="single" w:sz="4" w:space="0" w:color="auto"/>
            </w:tcBorders>
            <w:vAlign w:val="center"/>
          </w:tcPr>
          <w:p w:rsidR="00E37845" w:rsidRDefault="00E22BDD">
            <w:pPr>
              <w:jc w:val="center"/>
              <w:rPr>
                <w:rFonts w:eastAsia="Times New Roman"/>
                <w:b/>
                <w:bCs/>
                <w:color w:val="000000" w:themeColor="text1"/>
              </w:rPr>
            </w:pPr>
            <w:r>
              <w:rPr>
                <w:rFonts w:eastAsia="Times New Roman" w:hint="eastAsia"/>
                <w:b/>
                <w:bCs/>
                <w:color w:val="000000" w:themeColor="text1"/>
              </w:rPr>
              <w:t>管理文件名称</w:t>
            </w:r>
          </w:p>
        </w:tc>
        <w:tc>
          <w:tcPr>
            <w:tcW w:w="1449" w:type="dxa"/>
            <w:tcBorders>
              <w:top w:val="single" w:sz="12" w:space="0" w:color="auto"/>
              <w:left w:val="single" w:sz="4" w:space="0" w:color="auto"/>
              <w:bottom w:val="single" w:sz="4" w:space="0" w:color="auto"/>
              <w:right w:val="single" w:sz="12" w:space="0" w:color="auto"/>
            </w:tcBorders>
            <w:vAlign w:val="center"/>
          </w:tcPr>
          <w:p w:rsidR="00E37845" w:rsidRDefault="00E22BDD">
            <w:pPr>
              <w:jc w:val="center"/>
              <w:rPr>
                <w:rFonts w:eastAsia="Times New Roman"/>
                <w:b/>
                <w:bCs/>
                <w:color w:val="000000" w:themeColor="text1"/>
              </w:rPr>
            </w:pPr>
            <w:r>
              <w:rPr>
                <w:rFonts w:eastAsia="Times New Roman" w:hint="eastAsia"/>
                <w:b/>
                <w:bCs/>
                <w:color w:val="000000" w:themeColor="text1"/>
              </w:rPr>
              <w:t>文号</w:t>
            </w:r>
          </w:p>
        </w:tc>
      </w:tr>
      <w:tr w:rsidR="00E37845">
        <w:trPr>
          <w:trHeight w:val="340"/>
          <w:jc w:val="center"/>
        </w:trPr>
        <w:tc>
          <w:tcPr>
            <w:tcW w:w="717"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 w:eastAsia="仿宋" w:hAnsi="仿宋"/>
                <w:color w:val="000000" w:themeColor="text1"/>
                <w:kern w:val="0"/>
                <w:sz w:val="24"/>
                <w:szCs w:val="24"/>
              </w:rPr>
            </w:pPr>
            <w:r>
              <w:rPr>
                <w:rFonts w:eastAsia="Times New Roman"/>
                <w:color w:val="000000" w:themeColor="text1"/>
                <w:sz w:val="24"/>
                <w:szCs w:val="24"/>
              </w:rPr>
              <w:t>1</w:t>
            </w:r>
          </w:p>
        </w:tc>
        <w:tc>
          <w:tcPr>
            <w:tcW w:w="654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eastAsia="Times New Roman"/>
                <w:color w:val="000000" w:themeColor="text1"/>
              </w:rPr>
            </w:pPr>
            <w:r>
              <w:rPr>
                <w:rFonts w:eastAsia="Times New Roman" w:hint="eastAsia"/>
                <w:color w:val="000000" w:themeColor="text1"/>
              </w:rPr>
              <w:t>《广州大学纵向科研项目管理办法（试行）》</w:t>
            </w:r>
          </w:p>
        </w:tc>
        <w:tc>
          <w:tcPr>
            <w:tcW w:w="1449" w:type="dxa"/>
            <w:tcBorders>
              <w:top w:val="single" w:sz="4" w:space="0" w:color="auto"/>
              <w:left w:val="single" w:sz="4" w:space="0" w:color="auto"/>
              <w:bottom w:val="single" w:sz="4" w:space="0" w:color="auto"/>
              <w:right w:val="single" w:sz="12" w:space="0" w:color="auto"/>
            </w:tcBorders>
            <w:vAlign w:val="center"/>
          </w:tcPr>
          <w:p w:rsidR="00E37845" w:rsidRDefault="00E22BDD">
            <w:pPr>
              <w:jc w:val="center"/>
              <w:rPr>
                <w:rFonts w:eastAsia="Times New Roman"/>
                <w:color w:val="000000" w:themeColor="text1"/>
                <w:spacing w:val="-11"/>
              </w:rPr>
            </w:pPr>
            <w:r>
              <w:rPr>
                <w:rFonts w:eastAsia="Times New Roman" w:hint="eastAsia"/>
                <w:color w:val="000000" w:themeColor="text1"/>
                <w:spacing w:val="-11"/>
              </w:rPr>
              <w:t>〔2017〕339号</w:t>
            </w:r>
          </w:p>
        </w:tc>
      </w:tr>
      <w:tr w:rsidR="00E37845">
        <w:trPr>
          <w:trHeight w:val="340"/>
          <w:jc w:val="center"/>
        </w:trPr>
        <w:tc>
          <w:tcPr>
            <w:tcW w:w="717"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 w:eastAsia="仿宋" w:hAnsi="仿宋"/>
                <w:color w:val="000000" w:themeColor="text1"/>
                <w:kern w:val="0"/>
                <w:sz w:val="24"/>
                <w:szCs w:val="24"/>
              </w:rPr>
            </w:pPr>
            <w:r>
              <w:rPr>
                <w:rFonts w:eastAsia="Times New Roman"/>
                <w:color w:val="000000" w:themeColor="text1"/>
                <w:sz w:val="24"/>
                <w:szCs w:val="24"/>
              </w:rPr>
              <w:t>2</w:t>
            </w:r>
          </w:p>
        </w:tc>
        <w:tc>
          <w:tcPr>
            <w:tcW w:w="654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eastAsia="Times New Roman"/>
                <w:color w:val="000000" w:themeColor="text1"/>
              </w:rPr>
            </w:pPr>
            <w:r>
              <w:rPr>
                <w:rFonts w:eastAsia="Times New Roman" w:hint="eastAsia"/>
                <w:color w:val="000000" w:themeColor="text1"/>
              </w:rPr>
              <w:t>《广州大学科研项目经费管理办法（试行）》</w:t>
            </w:r>
          </w:p>
        </w:tc>
        <w:tc>
          <w:tcPr>
            <w:tcW w:w="1449" w:type="dxa"/>
            <w:tcBorders>
              <w:top w:val="single" w:sz="4" w:space="0" w:color="auto"/>
              <w:left w:val="single" w:sz="4" w:space="0" w:color="auto"/>
              <w:bottom w:val="single" w:sz="4" w:space="0" w:color="auto"/>
              <w:right w:val="single" w:sz="12" w:space="0" w:color="auto"/>
            </w:tcBorders>
            <w:vAlign w:val="center"/>
          </w:tcPr>
          <w:p w:rsidR="00E37845" w:rsidRDefault="00E22BDD">
            <w:pPr>
              <w:jc w:val="center"/>
              <w:rPr>
                <w:rFonts w:eastAsia="Times New Roman"/>
                <w:color w:val="000000" w:themeColor="text1"/>
                <w:spacing w:val="-11"/>
              </w:rPr>
            </w:pPr>
            <w:r>
              <w:rPr>
                <w:rFonts w:eastAsia="Times New Roman" w:hint="eastAsia"/>
                <w:color w:val="000000" w:themeColor="text1"/>
                <w:spacing w:val="-11"/>
              </w:rPr>
              <w:t>〔2017〕155号</w:t>
            </w:r>
          </w:p>
        </w:tc>
      </w:tr>
      <w:tr w:rsidR="00E37845">
        <w:trPr>
          <w:trHeight w:val="340"/>
          <w:jc w:val="center"/>
        </w:trPr>
        <w:tc>
          <w:tcPr>
            <w:tcW w:w="717"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 w:eastAsia="仿宋" w:hAnsi="仿宋"/>
                <w:color w:val="000000" w:themeColor="text1"/>
                <w:kern w:val="0"/>
                <w:sz w:val="24"/>
                <w:szCs w:val="24"/>
              </w:rPr>
            </w:pPr>
            <w:r>
              <w:rPr>
                <w:rFonts w:eastAsia="Times New Roman"/>
                <w:color w:val="000000" w:themeColor="text1"/>
                <w:sz w:val="24"/>
                <w:szCs w:val="24"/>
              </w:rPr>
              <w:t>3</w:t>
            </w:r>
          </w:p>
        </w:tc>
        <w:tc>
          <w:tcPr>
            <w:tcW w:w="654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eastAsia="Times New Roman"/>
                <w:color w:val="000000" w:themeColor="text1"/>
              </w:rPr>
            </w:pPr>
            <w:r>
              <w:rPr>
                <w:rFonts w:eastAsia="Times New Roman" w:hint="eastAsia"/>
                <w:color w:val="000000" w:themeColor="text1"/>
              </w:rPr>
              <w:t>《广州大学纵向科研项目申报遴选推荐实施细则（试行）》</w:t>
            </w:r>
          </w:p>
        </w:tc>
        <w:tc>
          <w:tcPr>
            <w:tcW w:w="1449" w:type="dxa"/>
            <w:tcBorders>
              <w:top w:val="single" w:sz="4" w:space="0" w:color="auto"/>
              <w:left w:val="single" w:sz="4" w:space="0" w:color="auto"/>
              <w:bottom w:val="single" w:sz="4" w:space="0" w:color="auto"/>
              <w:right w:val="single" w:sz="12" w:space="0" w:color="auto"/>
            </w:tcBorders>
            <w:vAlign w:val="center"/>
          </w:tcPr>
          <w:p w:rsidR="00E37845" w:rsidRDefault="00E22BDD">
            <w:pPr>
              <w:jc w:val="center"/>
              <w:rPr>
                <w:rFonts w:eastAsia="Times New Roman"/>
                <w:color w:val="000000" w:themeColor="text1"/>
                <w:spacing w:val="-11"/>
              </w:rPr>
            </w:pPr>
            <w:r>
              <w:rPr>
                <w:rFonts w:eastAsia="Times New Roman" w:hint="eastAsia"/>
                <w:color w:val="000000" w:themeColor="text1"/>
                <w:spacing w:val="-11"/>
              </w:rPr>
              <w:t>〔2017〕339号</w:t>
            </w:r>
          </w:p>
        </w:tc>
      </w:tr>
      <w:tr w:rsidR="00E37845">
        <w:trPr>
          <w:trHeight w:val="340"/>
          <w:jc w:val="center"/>
        </w:trPr>
        <w:tc>
          <w:tcPr>
            <w:tcW w:w="717"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 w:eastAsia="仿宋" w:hAnsi="仿宋"/>
                <w:color w:val="000000" w:themeColor="text1"/>
                <w:kern w:val="0"/>
                <w:sz w:val="24"/>
                <w:szCs w:val="24"/>
              </w:rPr>
            </w:pPr>
            <w:r>
              <w:rPr>
                <w:rFonts w:eastAsia="Times New Roman"/>
                <w:color w:val="000000" w:themeColor="text1"/>
                <w:sz w:val="24"/>
                <w:szCs w:val="24"/>
              </w:rPr>
              <w:t>4</w:t>
            </w:r>
          </w:p>
        </w:tc>
        <w:tc>
          <w:tcPr>
            <w:tcW w:w="654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eastAsia="Times New Roman"/>
                <w:color w:val="000000" w:themeColor="text1"/>
              </w:rPr>
            </w:pPr>
            <w:r>
              <w:rPr>
                <w:rFonts w:eastAsia="Times New Roman" w:hint="eastAsia"/>
                <w:color w:val="000000" w:themeColor="text1"/>
              </w:rPr>
              <w:t>《广州大学科研项目间接费用管理办法（试行）》</w:t>
            </w:r>
          </w:p>
        </w:tc>
        <w:tc>
          <w:tcPr>
            <w:tcW w:w="1449" w:type="dxa"/>
            <w:tcBorders>
              <w:top w:val="single" w:sz="4" w:space="0" w:color="auto"/>
              <w:left w:val="single" w:sz="4" w:space="0" w:color="auto"/>
              <w:bottom w:val="single" w:sz="4" w:space="0" w:color="auto"/>
              <w:right w:val="single" w:sz="12" w:space="0" w:color="auto"/>
            </w:tcBorders>
            <w:vAlign w:val="center"/>
          </w:tcPr>
          <w:p w:rsidR="00E37845" w:rsidRDefault="00E22BDD">
            <w:pPr>
              <w:jc w:val="center"/>
              <w:rPr>
                <w:rFonts w:eastAsia="Times New Roman"/>
                <w:color w:val="000000" w:themeColor="text1"/>
                <w:spacing w:val="-11"/>
              </w:rPr>
            </w:pPr>
            <w:r>
              <w:rPr>
                <w:rFonts w:eastAsia="Times New Roman" w:hint="eastAsia"/>
                <w:color w:val="000000" w:themeColor="text1"/>
                <w:spacing w:val="-11"/>
              </w:rPr>
              <w:t>〔2017〕154号</w:t>
            </w:r>
          </w:p>
        </w:tc>
      </w:tr>
      <w:tr w:rsidR="00E37845">
        <w:trPr>
          <w:trHeight w:val="340"/>
          <w:jc w:val="center"/>
        </w:trPr>
        <w:tc>
          <w:tcPr>
            <w:tcW w:w="717"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 w:eastAsia="仿宋" w:hAnsi="仿宋"/>
                <w:color w:val="000000" w:themeColor="text1"/>
                <w:kern w:val="0"/>
                <w:sz w:val="24"/>
                <w:szCs w:val="24"/>
              </w:rPr>
            </w:pPr>
            <w:r>
              <w:rPr>
                <w:rFonts w:eastAsia="Times New Roman"/>
                <w:color w:val="000000" w:themeColor="text1"/>
                <w:sz w:val="24"/>
                <w:szCs w:val="24"/>
              </w:rPr>
              <w:t>5</w:t>
            </w:r>
          </w:p>
        </w:tc>
        <w:tc>
          <w:tcPr>
            <w:tcW w:w="654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eastAsia="Times New Roman"/>
                <w:color w:val="000000" w:themeColor="text1"/>
              </w:rPr>
            </w:pPr>
            <w:r>
              <w:rPr>
                <w:rFonts w:eastAsia="Times New Roman" w:hint="eastAsia"/>
                <w:color w:val="000000" w:themeColor="text1"/>
              </w:rPr>
              <w:t>《广州大学发放纵向科研项目间接费用绩效支出的实施细则（试行）》</w:t>
            </w:r>
          </w:p>
        </w:tc>
        <w:tc>
          <w:tcPr>
            <w:tcW w:w="1449" w:type="dxa"/>
            <w:tcBorders>
              <w:top w:val="single" w:sz="4" w:space="0" w:color="auto"/>
              <w:left w:val="single" w:sz="4" w:space="0" w:color="auto"/>
              <w:bottom w:val="single" w:sz="4" w:space="0" w:color="auto"/>
              <w:right w:val="single" w:sz="12" w:space="0" w:color="auto"/>
            </w:tcBorders>
            <w:vAlign w:val="center"/>
          </w:tcPr>
          <w:p w:rsidR="00E37845" w:rsidRDefault="00E22BDD">
            <w:pPr>
              <w:jc w:val="center"/>
              <w:rPr>
                <w:rFonts w:eastAsia="Times New Roman"/>
                <w:color w:val="000000" w:themeColor="text1"/>
                <w:spacing w:val="-11"/>
              </w:rPr>
            </w:pPr>
            <w:r>
              <w:rPr>
                <w:rFonts w:eastAsia="Times New Roman" w:hint="eastAsia"/>
                <w:color w:val="000000" w:themeColor="text1"/>
                <w:spacing w:val="-11"/>
              </w:rPr>
              <w:t>〔2017〕339号</w:t>
            </w:r>
          </w:p>
        </w:tc>
      </w:tr>
      <w:tr w:rsidR="00E37845">
        <w:trPr>
          <w:trHeight w:val="340"/>
          <w:jc w:val="center"/>
        </w:trPr>
        <w:tc>
          <w:tcPr>
            <w:tcW w:w="717"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 w:eastAsia="仿宋" w:hAnsi="仿宋"/>
                <w:color w:val="000000" w:themeColor="text1"/>
                <w:kern w:val="0"/>
                <w:sz w:val="24"/>
                <w:szCs w:val="24"/>
              </w:rPr>
            </w:pPr>
            <w:r>
              <w:rPr>
                <w:rFonts w:eastAsia="Times New Roman"/>
                <w:color w:val="000000" w:themeColor="text1"/>
                <w:sz w:val="24"/>
                <w:szCs w:val="24"/>
              </w:rPr>
              <w:t>6</w:t>
            </w:r>
          </w:p>
        </w:tc>
        <w:tc>
          <w:tcPr>
            <w:tcW w:w="654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eastAsia="Times New Roman"/>
                <w:color w:val="000000" w:themeColor="text1"/>
              </w:rPr>
            </w:pPr>
            <w:r>
              <w:rPr>
                <w:rFonts w:eastAsia="Times New Roman" w:hint="eastAsia"/>
                <w:color w:val="000000" w:themeColor="text1"/>
              </w:rPr>
              <w:t>《广州大学纵向科研项目中期检查实施细则（试行）》</w:t>
            </w:r>
          </w:p>
        </w:tc>
        <w:tc>
          <w:tcPr>
            <w:tcW w:w="1449" w:type="dxa"/>
            <w:tcBorders>
              <w:top w:val="single" w:sz="4" w:space="0" w:color="auto"/>
              <w:left w:val="single" w:sz="4" w:space="0" w:color="auto"/>
              <w:bottom w:val="single" w:sz="4" w:space="0" w:color="auto"/>
              <w:right w:val="single" w:sz="12" w:space="0" w:color="auto"/>
            </w:tcBorders>
            <w:vAlign w:val="center"/>
          </w:tcPr>
          <w:p w:rsidR="00E37845" w:rsidRDefault="00E22BDD">
            <w:pPr>
              <w:jc w:val="center"/>
              <w:rPr>
                <w:rFonts w:eastAsia="Times New Roman"/>
                <w:color w:val="000000" w:themeColor="text1"/>
                <w:spacing w:val="-11"/>
              </w:rPr>
            </w:pPr>
            <w:r>
              <w:rPr>
                <w:rFonts w:eastAsia="Times New Roman" w:hint="eastAsia"/>
                <w:color w:val="000000" w:themeColor="text1"/>
                <w:spacing w:val="-11"/>
              </w:rPr>
              <w:t>〔2017〕339号</w:t>
            </w:r>
          </w:p>
        </w:tc>
      </w:tr>
      <w:tr w:rsidR="00E37845">
        <w:trPr>
          <w:trHeight w:val="340"/>
          <w:jc w:val="center"/>
        </w:trPr>
        <w:tc>
          <w:tcPr>
            <w:tcW w:w="717"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 w:eastAsia="仿宋" w:hAnsi="仿宋"/>
                <w:color w:val="000000" w:themeColor="text1"/>
                <w:kern w:val="0"/>
                <w:sz w:val="24"/>
                <w:szCs w:val="24"/>
              </w:rPr>
            </w:pPr>
            <w:r>
              <w:rPr>
                <w:rFonts w:eastAsia="Times New Roman"/>
                <w:color w:val="000000" w:themeColor="text1"/>
                <w:sz w:val="24"/>
                <w:szCs w:val="24"/>
              </w:rPr>
              <w:t>7</w:t>
            </w:r>
          </w:p>
        </w:tc>
        <w:tc>
          <w:tcPr>
            <w:tcW w:w="654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eastAsia="Times New Roman"/>
                <w:color w:val="000000" w:themeColor="text1"/>
              </w:rPr>
            </w:pPr>
            <w:r>
              <w:rPr>
                <w:rFonts w:eastAsia="Times New Roman" w:hint="eastAsia"/>
                <w:color w:val="000000" w:themeColor="text1"/>
              </w:rPr>
              <w:t>《广州大学纵向科研项目结题验收实施细则（试行）》</w:t>
            </w:r>
          </w:p>
        </w:tc>
        <w:tc>
          <w:tcPr>
            <w:tcW w:w="1449" w:type="dxa"/>
            <w:tcBorders>
              <w:top w:val="single" w:sz="4" w:space="0" w:color="auto"/>
              <w:left w:val="single" w:sz="4" w:space="0" w:color="auto"/>
              <w:bottom w:val="single" w:sz="4" w:space="0" w:color="auto"/>
              <w:right w:val="single" w:sz="12" w:space="0" w:color="auto"/>
            </w:tcBorders>
            <w:vAlign w:val="center"/>
          </w:tcPr>
          <w:p w:rsidR="00E37845" w:rsidRDefault="00E22BDD">
            <w:pPr>
              <w:jc w:val="center"/>
              <w:rPr>
                <w:rFonts w:eastAsia="Times New Roman"/>
                <w:color w:val="000000" w:themeColor="text1"/>
                <w:spacing w:val="-11"/>
              </w:rPr>
            </w:pPr>
            <w:r>
              <w:rPr>
                <w:rFonts w:eastAsia="Times New Roman" w:hint="eastAsia"/>
                <w:color w:val="000000" w:themeColor="text1"/>
                <w:spacing w:val="-11"/>
              </w:rPr>
              <w:t>〔2017〕339号</w:t>
            </w:r>
          </w:p>
        </w:tc>
      </w:tr>
      <w:tr w:rsidR="00E37845">
        <w:trPr>
          <w:trHeight w:val="340"/>
          <w:jc w:val="center"/>
        </w:trPr>
        <w:tc>
          <w:tcPr>
            <w:tcW w:w="717"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 w:eastAsia="仿宋" w:hAnsi="仿宋"/>
                <w:color w:val="000000" w:themeColor="text1"/>
                <w:kern w:val="0"/>
                <w:sz w:val="24"/>
                <w:szCs w:val="24"/>
              </w:rPr>
            </w:pPr>
            <w:r>
              <w:rPr>
                <w:rFonts w:eastAsia="Times New Roman"/>
                <w:color w:val="000000" w:themeColor="text1"/>
                <w:sz w:val="24"/>
                <w:szCs w:val="24"/>
              </w:rPr>
              <w:t>8</w:t>
            </w:r>
          </w:p>
        </w:tc>
        <w:tc>
          <w:tcPr>
            <w:tcW w:w="654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eastAsia="Times New Roman"/>
                <w:color w:val="000000" w:themeColor="text1"/>
              </w:rPr>
            </w:pPr>
            <w:r>
              <w:rPr>
                <w:rFonts w:eastAsia="Times New Roman" w:hint="eastAsia"/>
                <w:color w:val="000000" w:themeColor="text1"/>
              </w:rPr>
              <w:t>《广州大学横向科研项目管理细则（试行）》</w:t>
            </w:r>
          </w:p>
        </w:tc>
        <w:tc>
          <w:tcPr>
            <w:tcW w:w="1449" w:type="dxa"/>
            <w:tcBorders>
              <w:top w:val="single" w:sz="4" w:space="0" w:color="auto"/>
              <w:left w:val="single" w:sz="4" w:space="0" w:color="auto"/>
              <w:bottom w:val="single" w:sz="4" w:space="0" w:color="auto"/>
              <w:right w:val="single" w:sz="12" w:space="0" w:color="auto"/>
            </w:tcBorders>
            <w:vAlign w:val="center"/>
          </w:tcPr>
          <w:p w:rsidR="00E37845" w:rsidRDefault="00E22BDD">
            <w:pPr>
              <w:jc w:val="center"/>
              <w:rPr>
                <w:rFonts w:eastAsia="Times New Roman"/>
                <w:color w:val="000000" w:themeColor="text1"/>
                <w:spacing w:val="-11"/>
              </w:rPr>
            </w:pPr>
            <w:r>
              <w:rPr>
                <w:rFonts w:eastAsia="Times New Roman" w:hint="eastAsia"/>
                <w:color w:val="000000" w:themeColor="text1"/>
                <w:spacing w:val="-11"/>
              </w:rPr>
              <w:t>〔2017〕338号</w:t>
            </w:r>
          </w:p>
        </w:tc>
      </w:tr>
      <w:tr w:rsidR="00E37845">
        <w:trPr>
          <w:trHeight w:val="340"/>
          <w:jc w:val="center"/>
        </w:trPr>
        <w:tc>
          <w:tcPr>
            <w:tcW w:w="717"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 w:eastAsia="仿宋" w:hAnsi="仿宋"/>
                <w:color w:val="000000" w:themeColor="text1"/>
                <w:kern w:val="0"/>
                <w:sz w:val="24"/>
                <w:szCs w:val="24"/>
              </w:rPr>
            </w:pPr>
            <w:r>
              <w:rPr>
                <w:rFonts w:eastAsia="Times New Roman"/>
                <w:color w:val="000000" w:themeColor="text1"/>
                <w:sz w:val="24"/>
                <w:szCs w:val="24"/>
              </w:rPr>
              <w:t>9</w:t>
            </w:r>
          </w:p>
        </w:tc>
        <w:tc>
          <w:tcPr>
            <w:tcW w:w="654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eastAsia="Times New Roman"/>
                <w:color w:val="000000" w:themeColor="text1"/>
              </w:rPr>
            </w:pPr>
            <w:r>
              <w:rPr>
                <w:rFonts w:eastAsia="Times New Roman" w:hint="eastAsia"/>
                <w:color w:val="000000" w:themeColor="text1"/>
              </w:rPr>
              <w:t>《广州大学科研机构管理办法》</w:t>
            </w:r>
          </w:p>
        </w:tc>
        <w:tc>
          <w:tcPr>
            <w:tcW w:w="1449" w:type="dxa"/>
            <w:tcBorders>
              <w:top w:val="single" w:sz="4" w:space="0" w:color="auto"/>
              <w:left w:val="single" w:sz="4" w:space="0" w:color="auto"/>
              <w:bottom w:val="single" w:sz="4" w:space="0" w:color="auto"/>
              <w:right w:val="single" w:sz="12" w:space="0" w:color="auto"/>
            </w:tcBorders>
            <w:vAlign w:val="center"/>
          </w:tcPr>
          <w:p w:rsidR="00E37845" w:rsidRDefault="00E22BDD">
            <w:pPr>
              <w:jc w:val="center"/>
              <w:rPr>
                <w:rFonts w:eastAsia="Times New Roman"/>
                <w:color w:val="000000" w:themeColor="text1"/>
                <w:spacing w:val="-11"/>
              </w:rPr>
            </w:pPr>
            <w:r>
              <w:rPr>
                <w:rFonts w:eastAsia="Times New Roman" w:hint="eastAsia"/>
                <w:color w:val="000000" w:themeColor="text1"/>
                <w:spacing w:val="-11"/>
              </w:rPr>
              <w:t>〔2017〕291号</w:t>
            </w:r>
          </w:p>
        </w:tc>
      </w:tr>
      <w:tr w:rsidR="00E37845">
        <w:trPr>
          <w:trHeight w:val="340"/>
          <w:jc w:val="center"/>
        </w:trPr>
        <w:tc>
          <w:tcPr>
            <w:tcW w:w="717"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 w:eastAsia="仿宋" w:hAnsi="仿宋"/>
                <w:color w:val="000000" w:themeColor="text1"/>
                <w:kern w:val="0"/>
                <w:sz w:val="24"/>
                <w:szCs w:val="24"/>
              </w:rPr>
            </w:pPr>
            <w:r>
              <w:rPr>
                <w:rFonts w:eastAsia="Times New Roman"/>
                <w:color w:val="000000" w:themeColor="text1"/>
                <w:sz w:val="24"/>
                <w:szCs w:val="24"/>
              </w:rPr>
              <w:t>10</w:t>
            </w:r>
          </w:p>
        </w:tc>
        <w:tc>
          <w:tcPr>
            <w:tcW w:w="654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eastAsia="Times New Roman"/>
                <w:color w:val="000000" w:themeColor="text1"/>
              </w:rPr>
            </w:pPr>
            <w:r>
              <w:rPr>
                <w:rFonts w:eastAsia="Times New Roman" w:hint="eastAsia"/>
                <w:color w:val="000000" w:themeColor="text1"/>
              </w:rPr>
              <w:t>《广州大学突出科研成果和重要平台奖励性绩效管理办法</w:t>
            </w:r>
          </w:p>
          <w:p w:rsidR="00E37845" w:rsidRDefault="00E22BDD">
            <w:pPr>
              <w:jc w:val="center"/>
              <w:rPr>
                <w:rFonts w:eastAsia="Times New Roman"/>
                <w:color w:val="000000" w:themeColor="text1"/>
              </w:rPr>
            </w:pPr>
            <w:r>
              <w:rPr>
                <w:rFonts w:eastAsia="Times New Roman" w:hint="eastAsia"/>
                <w:color w:val="000000" w:themeColor="text1"/>
              </w:rPr>
              <w:t>（试行）》</w:t>
            </w:r>
          </w:p>
        </w:tc>
        <w:tc>
          <w:tcPr>
            <w:tcW w:w="1449" w:type="dxa"/>
            <w:tcBorders>
              <w:top w:val="single" w:sz="4" w:space="0" w:color="auto"/>
              <w:left w:val="single" w:sz="4" w:space="0" w:color="auto"/>
              <w:bottom w:val="single" w:sz="4" w:space="0" w:color="auto"/>
              <w:right w:val="single" w:sz="12" w:space="0" w:color="auto"/>
            </w:tcBorders>
            <w:vAlign w:val="center"/>
          </w:tcPr>
          <w:p w:rsidR="00E37845" w:rsidRDefault="00E22BDD">
            <w:pPr>
              <w:jc w:val="center"/>
              <w:rPr>
                <w:rFonts w:eastAsia="Times New Roman"/>
                <w:color w:val="000000" w:themeColor="text1"/>
                <w:spacing w:val="-11"/>
              </w:rPr>
            </w:pPr>
            <w:r>
              <w:rPr>
                <w:rFonts w:eastAsia="Times New Roman" w:hint="eastAsia"/>
                <w:color w:val="000000" w:themeColor="text1"/>
                <w:spacing w:val="-11"/>
              </w:rPr>
              <w:t>〔2017〕225号</w:t>
            </w:r>
          </w:p>
        </w:tc>
      </w:tr>
      <w:tr w:rsidR="00E37845">
        <w:trPr>
          <w:trHeight w:val="340"/>
          <w:jc w:val="center"/>
        </w:trPr>
        <w:tc>
          <w:tcPr>
            <w:tcW w:w="717"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 w:eastAsia="仿宋" w:hAnsi="仿宋"/>
                <w:color w:val="000000" w:themeColor="text1"/>
                <w:kern w:val="0"/>
                <w:sz w:val="24"/>
                <w:szCs w:val="24"/>
              </w:rPr>
            </w:pPr>
            <w:r>
              <w:rPr>
                <w:rFonts w:eastAsia="Times New Roman"/>
                <w:color w:val="000000" w:themeColor="text1"/>
                <w:sz w:val="24"/>
                <w:szCs w:val="24"/>
              </w:rPr>
              <w:t>11</w:t>
            </w:r>
          </w:p>
        </w:tc>
        <w:tc>
          <w:tcPr>
            <w:tcW w:w="654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eastAsia="Times New Roman"/>
                <w:color w:val="000000" w:themeColor="text1"/>
              </w:rPr>
            </w:pPr>
            <w:r>
              <w:rPr>
                <w:rFonts w:eastAsia="Times New Roman" w:hint="eastAsia"/>
                <w:color w:val="000000" w:themeColor="text1"/>
              </w:rPr>
              <w:t>《广州大学科技成果转化暂行规定》</w:t>
            </w:r>
          </w:p>
        </w:tc>
        <w:tc>
          <w:tcPr>
            <w:tcW w:w="1449" w:type="dxa"/>
            <w:tcBorders>
              <w:top w:val="single" w:sz="4" w:space="0" w:color="auto"/>
              <w:left w:val="single" w:sz="4" w:space="0" w:color="auto"/>
              <w:bottom w:val="single" w:sz="4" w:space="0" w:color="auto"/>
              <w:right w:val="single" w:sz="12" w:space="0" w:color="auto"/>
            </w:tcBorders>
            <w:vAlign w:val="center"/>
          </w:tcPr>
          <w:p w:rsidR="00E37845" w:rsidRDefault="00E22BDD">
            <w:pPr>
              <w:jc w:val="center"/>
              <w:rPr>
                <w:rFonts w:eastAsia="Times New Roman"/>
                <w:color w:val="000000" w:themeColor="text1"/>
                <w:spacing w:val="-11"/>
              </w:rPr>
            </w:pPr>
            <w:r>
              <w:rPr>
                <w:rFonts w:eastAsia="Times New Roman" w:hint="eastAsia"/>
                <w:color w:val="000000" w:themeColor="text1"/>
                <w:spacing w:val="-11"/>
              </w:rPr>
              <w:t>〔2017〕340号</w:t>
            </w:r>
          </w:p>
        </w:tc>
      </w:tr>
      <w:tr w:rsidR="00E37845">
        <w:trPr>
          <w:trHeight w:val="340"/>
          <w:jc w:val="center"/>
        </w:trPr>
        <w:tc>
          <w:tcPr>
            <w:tcW w:w="717"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 w:eastAsia="仿宋" w:hAnsi="仿宋"/>
                <w:color w:val="000000" w:themeColor="text1"/>
                <w:kern w:val="0"/>
                <w:sz w:val="24"/>
                <w:szCs w:val="24"/>
              </w:rPr>
            </w:pPr>
            <w:r>
              <w:rPr>
                <w:rFonts w:eastAsia="Times New Roman"/>
                <w:color w:val="000000" w:themeColor="text1"/>
                <w:sz w:val="24"/>
                <w:szCs w:val="24"/>
              </w:rPr>
              <w:t>12</w:t>
            </w:r>
          </w:p>
        </w:tc>
        <w:tc>
          <w:tcPr>
            <w:tcW w:w="654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eastAsia="Times New Roman"/>
                <w:color w:val="000000" w:themeColor="text1"/>
              </w:rPr>
            </w:pPr>
            <w:r>
              <w:rPr>
                <w:rFonts w:eastAsia="Times New Roman" w:hint="eastAsia"/>
                <w:color w:val="000000" w:themeColor="text1"/>
              </w:rPr>
              <w:t>《广州大学知识产权管理办法》</w:t>
            </w:r>
          </w:p>
        </w:tc>
        <w:tc>
          <w:tcPr>
            <w:tcW w:w="1449" w:type="dxa"/>
            <w:tcBorders>
              <w:top w:val="single" w:sz="4" w:space="0" w:color="auto"/>
              <w:left w:val="single" w:sz="4" w:space="0" w:color="auto"/>
              <w:bottom w:val="single" w:sz="4" w:space="0" w:color="auto"/>
              <w:right w:val="single" w:sz="12" w:space="0" w:color="auto"/>
            </w:tcBorders>
            <w:vAlign w:val="center"/>
          </w:tcPr>
          <w:p w:rsidR="00E37845" w:rsidRDefault="00E22BDD">
            <w:pPr>
              <w:jc w:val="center"/>
              <w:rPr>
                <w:rFonts w:eastAsia="Times New Roman"/>
                <w:color w:val="000000" w:themeColor="text1"/>
                <w:spacing w:val="-11"/>
              </w:rPr>
            </w:pPr>
            <w:r>
              <w:rPr>
                <w:rFonts w:eastAsia="Times New Roman" w:hint="eastAsia"/>
                <w:color w:val="000000" w:themeColor="text1"/>
                <w:spacing w:val="-11"/>
              </w:rPr>
              <w:t>〔2017〕340号</w:t>
            </w:r>
          </w:p>
        </w:tc>
      </w:tr>
      <w:tr w:rsidR="00E37845">
        <w:trPr>
          <w:trHeight w:val="340"/>
          <w:jc w:val="center"/>
        </w:trPr>
        <w:tc>
          <w:tcPr>
            <w:tcW w:w="717"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 w:eastAsia="仿宋" w:hAnsi="仿宋"/>
                <w:color w:val="000000" w:themeColor="text1"/>
                <w:kern w:val="0"/>
                <w:sz w:val="24"/>
                <w:szCs w:val="24"/>
              </w:rPr>
            </w:pPr>
            <w:r>
              <w:rPr>
                <w:rFonts w:eastAsia="Times New Roman"/>
                <w:color w:val="000000" w:themeColor="text1"/>
                <w:sz w:val="24"/>
                <w:szCs w:val="24"/>
              </w:rPr>
              <w:t>13</w:t>
            </w:r>
          </w:p>
        </w:tc>
        <w:tc>
          <w:tcPr>
            <w:tcW w:w="654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eastAsia="Times New Roman"/>
                <w:color w:val="000000" w:themeColor="text1"/>
              </w:rPr>
            </w:pPr>
            <w:r>
              <w:rPr>
                <w:rFonts w:eastAsia="Times New Roman" w:hint="eastAsia"/>
                <w:color w:val="000000" w:themeColor="text1"/>
              </w:rPr>
              <w:t>《广州大学政产学研平台建设管理办法》</w:t>
            </w:r>
          </w:p>
        </w:tc>
        <w:tc>
          <w:tcPr>
            <w:tcW w:w="1449" w:type="dxa"/>
            <w:tcBorders>
              <w:top w:val="single" w:sz="4" w:space="0" w:color="auto"/>
              <w:left w:val="single" w:sz="4" w:space="0" w:color="auto"/>
              <w:bottom w:val="single" w:sz="4" w:space="0" w:color="auto"/>
              <w:right w:val="single" w:sz="12" w:space="0" w:color="auto"/>
            </w:tcBorders>
            <w:vAlign w:val="center"/>
          </w:tcPr>
          <w:p w:rsidR="00E37845" w:rsidRDefault="00E22BDD">
            <w:pPr>
              <w:jc w:val="center"/>
              <w:rPr>
                <w:rFonts w:eastAsia="Times New Roman"/>
                <w:color w:val="000000" w:themeColor="text1"/>
                <w:spacing w:val="-11"/>
              </w:rPr>
            </w:pPr>
            <w:r>
              <w:rPr>
                <w:rFonts w:eastAsia="Times New Roman" w:hint="eastAsia"/>
                <w:color w:val="000000" w:themeColor="text1"/>
                <w:spacing w:val="-11"/>
              </w:rPr>
              <w:t>〔2017〕340号</w:t>
            </w:r>
          </w:p>
        </w:tc>
      </w:tr>
      <w:tr w:rsidR="00E37845">
        <w:trPr>
          <w:trHeight w:val="340"/>
          <w:jc w:val="center"/>
        </w:trPr>
        <w:tc>
          <w:tcPr>
            <w:tcW w:w="717"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 w:eastAsia="仿宋" w:hAnsi="仿宋"/>
                <w:color w:val="000000" w:themeColor="text1"/>
                <w:kern w:val="0"/>
                <w:sz w:val="24"/>
                <w:szCs w:val="24"/>
              </w:rPr>
            </w:pPr>
            <w:r>
              <w:rPr>
                <w:rFonts w:eastAsia="Times New Roman"/>
                <w:color w:val="000000" w:themeColor="text1"/>
                <w:sz w:val="24"/>
                <w:szCs w:val="24"/>
              </w:rPr>
              <w:t>14</w:t>
            </w:r>
          </w:p>
        </w:tc>
        <w:tc>
          <w:tcPr>
            <w:tcW w:w="654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eastAsia="Times New Roman"/>
                <w:color w:val="000000" w:themeColor="text1"/>
              </w:rPr>
            </w:pPr>
            <w:r>
              <w:rPr>
                <w:rFonts w:eastAsia="Times New Roman" w:hint="eastAsia"/>
                <w:color w:val="000000" w:themeColor="text1"/>
              </w:rPr>
              <w:t>《广州大学青年博士学术发展支持计划》</w:t>
            </w:r>
          </w:p>
        </w:tc>
        <w:tc>
          <w:tcPr>
            <w:tcW w:w="1449" w:type="dxa"/>
            <w:tcBorders>
              <w:top w:val="single" w:sz="4" w:space="0" w:color="auto"/>
              <w:left w:val="single" w:sz="4" w:space="0" w:color="auto"/>
              <w:bottom w:val="single" w:sz="4" w:space="0" w:color="auto"/>
              <w:right w:val="single" w:sz="12" w:space="0" w:color="auto"/>
            </w:tcBorders>
            <w:vAlign w:val="center"/>
          </w:tcPr>
          <w:p w:rsidR="00E37845" w:rsidRDefault="00E22BDD">
            <w:pPr>
              <w:jc w:val="center"/>
              <w:rPr>
                <w:rFonts w:eastAsia="Times New Roman"/>
                <w:color w:val="000000" w:themeColor="text1"/>
                <w:spacing w:val="-11"/>
              </w:rPr>
            </w:pPr>
            <w:r>
              <w:rPr>
                <w:rFonts w:eastAsia="Times New Roman" w:hint="eastAsia"/>
                <w:color w:val="000000" w:themeColor="text1"/>
                <w:spacing w:val="-11"/>
              </w:rPr>
              <w:t>〔2017〕312号</w:t>
            </w:r>
          </w:p>
        </w:tc>
      </w:tr>
      <w:tr w:rsidR="00E37845">
        <w:trPr>
          <w:trHeight w:val="340"/>
          <w:jc w:val="center"/>
        </w:trPr>
        <w:tc>
          <w:tcPr>
            <w:tcW w:w="717" w:type="dxa"/>
            <w:tcBorders>
              <w:top w:val="single" w:sz="4" w:space="0" w:color="auto"/>
              <w:left w:val="single" w:sz="12" w:space="0" w:color="auto"/>
              <w:bottom w:val="single" w:sz="4"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 w:eastAsia="仿宋" w:hAnsi="仿宋"/>
                <w:color w:val="000000" w:themeColor="text1"/>
                <w:kern w:val="0"/>
                <w:sz w:val="24"/>
                <w:szCs w:val="24"/>
              </w:rPr>
            </w:pPr>
            <w:r>
              <w:rPr>
                <w:rFonts w:eastAsia="Times New Roman"/>
                <w:color w:val="000000" w:themeColor="text1"/>
                <w:sz w:val="24"/>
                <w:szCs w:val="24"/>
              </w:rPr>
              <w:t>15</w:t>
            </w:r>
          </w:p>
        </w:tc>
        <w:tc>
          <w:tcPr>
            <w:tcW w:w="6545"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rFonts w:eastAsia="Times New Roman"/>
                <w:color w:val="000000" w:themeColor="text1"/>
              </w:rPr>
            </w:pPr>
            <w:r>
              <w:rPr>
                <w:rFonts w:eastAsia="Times New Roman" w:hint="eastAsia"/>
                <w:color w:val="000000" w:themeColor="text1"/>
              </w:rPr>
              <w:t>《广州大学关于进一步支持申报与承担国家级科研项目的激励办法》</w:t>
            </w:r>
          </w:p>
        </w:tc>
        <w:tc>
          <w:tcPr>
            <w:tcW w:w="1449" w:type="dxa"/>
            <w:tcBorders>
              <w:top w:val="single" w:sz="4" w:space="0" w:color="auto"/>
              <w:left w:val="single" w:sz="4" w:space="0" w:color="auto"/>
              <w:bottom w:val="single" w:sz="4" w:space="0" w:color="auto"/>
              <w:right w:val="single" w:sz="12" w:space="0" w:color="auto"/>
            </w:tcBorders>
            <w:vAlign w:val="center"/>
          </w:tcPr>
          <w:p w:rsidR="00E37845" w:rsidRDefault="00E22BDD">
            <w:pPr>
              <w:jc w:val="center"/>
              <w:rPr>
                <w:rFonts w:eastAsia="Times New Roman"/>
                <w:color w:val="000000" w:themeColor="text1"/>
                <w:spacing w:val="-11"/>
              </w:rPr>
            </w:pPr>
            <w:r>
              <w:rPr>
                <w:rFonts w:eastAsia="Times New Roman" w:hint="eastAsia"/>
                <w:color w:val="000000" w:themeColor="text1"/>
                <w:spacing w:val="-11"/>
              </w:rPr>
              <w:t>〔2016〕221号</w:t>
            </w:r>
          </w:p>
        </w:tc>
      </w:tr>
      <w:tr w:rsidR="00E37845">
        <w:trPr>
          <w:trHeight w:val="340"/>
          <w:jc w:val="center"/>
        </w:trPr>
        <w:tc>
          <w:tcPr>
            <w:tcW w:w="717" w:type="dxa"/>
            <w:tcBorders>
              <w:top w:val="single" w:sz="4" w:space="0" w:color="auto"/>
              <w:left w:val="single" w:sz="12" w:space="0" w:color="auto"/>
              <w:bottom w:val="single" w:sz="12" w:space="0" w:color="auto"/>
              <w:right w:val="single" w:sz="4" w:space="0" w:color="auto"/>
            </w:tcBorders>
            <w:vAlign w:val="center"/>
          </w:tcPr>
          <w:p w:rsidR="00E37845" w:rsidRDefault="00E22BDD">
            <w:pPr>
              <w:numPr>
                <w:ilvl w:val="255"/>
                <w:numId w:val="0"/>
              </w:numPr>
              <w:adjustRightInd w:val="0"/>
              <w:spacing w:beforeLines="20" w:before="62" w:afterLines="20" w:after="62"/>
              <w:jc w:val="center"/>
              <w:rPr>
                <w:rFonts w:ascii="仿宋" w:eastAsia="仿宋" w:hAnsi="仿宋"/>
                <w:color w:val="000000" w:themeColor="text1"/>
                <w:kern w:val="0"/>
                <w:sz w:val="24"/>
                <w:szCs w:val="24"/>
              </w:rPr>
            </w:pPr>
            <w:r>
              <w:rPr>
                <w:rFonts w:eastAsia="Times New Roman"/>
                <w:color w:val="000000" w:themeColor="text1"/>
                <w:sz w:val="24"/>
                <w:szCs w:val="24"/>
              </w:rPr>
              <w:t>16</w:t>
            </w:r>
          </w:p>
        </w:tc>
        <w:tc>
          <w:tcPr>
            <w:tcW w:w="6545" w:type="dxa"/>
            <w:tcBorders>
              <w:top w:val="single" w:sz="4" w:space="0" w:color="auto"/>
              <w:left w:val="single" w:sz="4" w:space="0" w:color="auto"/>
              <w:bottom w:val="single" w:sz="12" w:space="0" w:color="auto"/>
              <w:right w:val="single" w:sz="4" w:space="0" w:color="auto"/>
            </w:tcBorders>
            <w:vAlign w:val="center"/>
          </w:tcPr>
          <w:p w:rsidR="00E37845" w:rsidRDefault="00E22BDD">
            <w:pPr>
              <w:jc w:val="center"/>
              <w:rPr>
                <w:rFonts w:eastAsia="Times New Roman"/>
                <w:color w:val="000000" w:themeColor="text1"/>
              </w:rPr>
            </w:pPr>
            <w:r>
              <w:rPr>
                <w:rFonts w:eastAsia="Times New Roman" w:hint="eastAsia"/>
                <w:color w:val="000000" w:themeColor="text1"/>
              </w:rPr>
              <w:t>广州大学科研机构重新认定名单（I类、II类）</w:t>
            </w:r>
          </w:p>
        </w:tc>
        <w:tc>
          <w:tcPr>
            <w:tcW w:w="1449" w:type="dxa"/>
            <w:tcBorders>
              <w:top w:val="single" w:sz="4" w:space="0" w:color="auto"/>
              <w:left w:val="single" w:sz="4" w:space="0" w:color="auto"/>
              <w:bottom w:val="single" w:sz="12" w:space="0" w:color="auto"/>
              <w:right w:val="single" w:sz="12" w:space="0" w:color="auto"/>
            </w:tcBorders>
            <w:vAlign w:val="center"/>
          </w:tcPr>
          <w:p w:rsidR="00E37845" w:rsidRDefault="00E22BDD">
            <w:pPr>
              <w:jc w:val="center"/>
              <w:rPr>
                <w:rFonts w:eastAsia="Times New Roman"/>
                <w:color w:val="000000" w:themeColor="text1"/>
                <w:spacing w:val="-11"/>
              </w:rPr>
            </w:pPr>
            <w:r>
              <w:rPr>
                <w:rFonts w:eastAsia="Times New Roman" w:hint="eastAsia"/>
                <w:color w:val="000000" w:themeColor="text1"/>
                <w:spacing w:val="-11"/>
              </w:rPr>
              <w:t>〔2018〕91号</w:t>
            </w:r>
          </w:p>
        </w:tc>
      </w:tr>
    </w:tbl>
    <w:p w:rsidR="00E37845" w:rsidRDefault="00E37845">
      <w:pPr>
        <w:widowControl/>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p>
    <w:p w:rsidR="00E37845" w:rsidRDefault="00E22BDD">
      <w:pPr>
        <w:pStyle w:val="1"/>
        <w:adjustRightInd w:val="0"/>
        <w:snapToGrid w:val="0"/>
        <w:spacing w:beforeLines="100" w:before="312" w:afterLines="100" w:after="312" w:line="360" w:lineRule="auto"/>
        <w:jc w:val="center"/>
        <w:rPr>
          <w:rFonts w:ascii="方正小标宋简体" w:eastAsia="方正小标宋简体" w:hAnsi="仿宋_GB2312" w:cs="仿宋_GB2312"/>
          <w:color w:val="000000" w:themeColor="text1"/>
          <w:sz w:val="44"/>
        </w:rPr>
      </w:pPr>
      <w:bookmarkStart w:id="2395" w:name="_Toc5500"/>
      <w:r>
        <w:rPr>
          <w:rFonts w:ascii="方正小标宋简体" w:eastAsia="方正小标宋简体" w:hAnsi="仿宋_GB2312" w:cs="仿宋_GB2312" w:hint="eastAsia"/>
          <w:color w:val="000000" w:themeColor="text1"/>
          <w:sz w:val="44"/>
        </w:rPr>
        <w:lastRenderedPageBreak/>
        <w:t>第四</w:t>
      </w:r>
      <w:r>
        <w:rPr>
          <w:rFonts w:ascii="方正小标宋简体" w:eastAsia="方正小标宋简体" w:hAnsi="仿宋_GB2312" w:cs="仿宋_GB2312"/>
          <w:color w:val="000000" w:themeColor="text1"/>
          <w:sz w:val="44"/>
        </w:rPr>
        <w:t>篇  财务、</w:t>
      </w:r>
      <w:r>
        <w:rPr>
          <w:rFonts w:ascii="方正小标宋简体" w:eastAsia="方正小标宋简体" w:hAnsi="仿宋_GB2312" w:cs="仿宋_GB2312" w:hint="eastAsia"/>
          <w:color w:val="000000" w:themeColor="text1"/>
          <w:sz w:val="44"/>
        </w:rPr>
        <w:t>设备</w:t>
      </w:r>
      <w:r>
        <w:rPr>
          <w:rFonts w:ascii="方正小标宋简体" w:eastAsia="方正小标宋简体" w:hAnsi="仿宋_GB2312" w:cs="仿宋_GB2312"/>
          <w:color w:val="000000" w:themeColor="text1"/>
          <w:sz w:val="44"/>
        </w:rPr>
        <w:t>及对外交流</w:t>
      </w:r>
      <w:bookmarkStart w:id="2396" w:name="_Toc4024"/>
      <w:bookmarkStart w:id="2397" w:name="_Toc11567"/>
      <w:bookmarkStart w:id="2398" w:name="_Toc26801"/>
      <w:bookmarkStart w:id="2399" w:name="_Toc2400"/>
      <w:bookmarkStart w:id="2400" w:name="_Toc30659"/>
      <w:bookmarkStart w:id="2401" w:name="_Toc1641"/>
      <w:bookmarkStart w:id="2402" w:name="_Toc11140"/>
      <w:bookmarkStart w:id="2403" w:name="_Toc22903"/>
      <w:bookmarkStart w:id="2404" w:name="_Toc19924"/>
      <w:bookmarkStart w:id="2405" w:name="_Toc22752"/>
      <w:bookmarkStart w:id="2406" w:name="_Toc25135"/>
      <w:bookmarkStart w:id="2407" w:name="_Toc10322"/>
      <w:bookmarkStart w:id="2408" w:name="_Toc12833"/>
      <w:bookmarkStart w:id="2409" w:name="_Toc755"/>
      <w:bookmarkStart w:id="2410" w:name="_Toc27861"/>
      <w:bookmarkStart w:id="2411" w:name="_Toc28656"/>
      <w:bookmarkStart w:id="2412" w:name="_Toc23203"/>
      <w:bookmarkStart w:id="2413" w:name="_Toc24336"/>
      <w:bookmarkStart w:id="2414" w:name="_Toc13310"/>
      <w:bookmarkStart w:id="2415" w:name="_Toc2422"/>
      <w:bookmarkStart w:id="2416" w:name="_Toc519781013"/>
      <w:bookmarkStart w:id="2417" w:name="_Toc29673"/>
      <w:bookmarkStart w:id="2418" w:name="_Toc27980"/>
      <w:bookmarkStart w:id="2419" w:name="_Toc23521"/>
      <w:bookmarkStart w:id="2420" w:name="_Toc18289"/>
      <w:bookmarkEnd w:id="2395"/>
    </w:p>
    <w:p w:rsidR="00E37845" w:rsidRDefault="00E22BDD">
      <w:pPr>
        <w:pStyle w:val="1"/>
        <w:adjustRightInd w:val="0"/>
        <w:snapToGrid w:val="0"/>
        <w:spacing w:beforeLines="100" w:before="312" w:afterLines="100" w:after="312" w:line="360" w:lineRule="auto"/>
        <w:rPr>
          <w:rFonts w:ascii="微软雅黑" w:eastAsia="微软雅黑" w:hAnsi="微软雅黑" w:cs="微软雅黑"/>
        </w:rPr>
      </w:pPr>
      <w:bookmarkStart w:id="2421" w:name="_Toc20847"/>
      <w:r>
        <w:rPr>
          <w:rFonts w:ascii="微软雅黑" w:eastAsia="微软雅黑" w:hAnsi="微软雅黑" w:cs="微软雅黑" w:hint="eastAsia"/>
        </w:rPr>
        <w:t>8.财务</w:t>
      </w:r>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422" w:name="_Toc19288"/>
      <w:bookmarkStart w:id="2423" w:name="_Toc21264"/>
      <w:bookmarkStart w:id="2424" w:name="_Toc26146"/>
      <w:bookmarkStart w:id="2425" w:name="_Toc24562"/>
      <w:bookmarkStart w:id="2426" w:name="_Toc10538"/>
      <w:bookmarkStart w:id="2427" w:name="_Toc5750"/>
      <w:bookmarkStart w:id="2428" w:name="_Toc17071"/>
      <w:bookmarkStart w:id="2429" w:name="_Toc30588"/>
      <w:bookmarkStart w:id="2430" w:name="_Toc25081"/>
      <w:bookmarkStart w:id="2431" w:name="_Toc18635"/>
      <w:bookmarkStart w:id="2432" w:name="_Toc20723"/>
      <w:bookmarkStart w:id="2433" w:name="_Toc27389"/>
      <w:bookmarkStart w:id="2434" w:name="_Toc8720"/>
      <w:bookmarkStart w:id="2435" w:name="_Toc7899"/>
      <w:bookmarkStart w:id="2436" w:name="_Toc519781014"/>
      <w:bookmarkStart w:id="2437" w:name="_Toc1497"/>
      <w:bookmarkStart w:id="2438" w:name="_Toc5214"/>
      <w:bookmarkStart w:id="2439" w:name="_Toc20576"/>
      <w:bookmarkStart w:id="2440" w:name="_Toc178"/>
      <w:bookmarkStart w:id="2441" w:name="_Toc7262"/>
      <w:bookmarkStart w:id="2442" w:name="_Toc29409"/>
      <w:bookmarkStart w:id="2443" w:name="_Toc16508"/>
      <w:bookmarkStart w:id="2444" w:name="_Toc23528"/>
      <w:bookmarkStart w:id="2445" w:name="_Toc20786"/>
      <w:bookmarkStart w:id="2446" w:name="_Toc29226"/>
      <w:bookmarkStart w:id="2447" w:name="_Toc11215"/>
      <w:r>
        <w:rPr>
          <w:rFonts w:ascii="黑体" w:eastAsia="黑体" w:hAnsi="黑体" w:cs="黑体" w:hint="eastAsia"/>
          <w:color w:val="000000" w:themeColor="text1"/>
          <w:sz w:val="28"/>
          <w:szCs w:val="28"/>
        </w:rPr>
        <w:t>8.1中央明令禁止（“红线”）清单</w:t>
      </w:r>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一、违规发放津贴补贴。违反规定自行新设项目或者继续发放已经明令取消的津贴补贴的；超过规定标准、范围发放津贴补贴的等。</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二、违规用公款组织职工旅游或变相旅游。严禁以公务差旅为名变相旅游；不得用公款组织职工旅游，不得以考察名义组织培训学员变相旅游。</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违规发放购物卡、预付卡。不得使用公款（含单位福利费、酬金项目经费）购买食品或购物卡作为职工福利发放给职工（含离退休职工）。单位福利基金、工会经费可以少量购买食品作为节日、职工生日慰问。</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四、违规私设“小金库”。凡违反国家财经法规及其他有关规定，侵占、截留国家和单位收入，未列入本单位财务会计部门账内或未纳入预算管理，私存私放的各项资金均属“小金库”。</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五、违规开支公务接待费包括公款购买礼品。严禁用公款搞相互走访、送礼、宴请等拜年活动；严禁违反规定收送礼品、礼金、有价证券、支付凭证和商业预付卡；严禁超规格超标准接待；严禁扩大接待范围、增加接待项目；不得购高档酒水。</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六、违规开支会议费。严禁未经批准随意开会；严禁到中央明令禁止的风景名胜区办会；严禁动用财政性经费举办校庆等礼仪庆典活动；严禁各单位借会议名义组织会餐或安排宴请；严禁套取会议费设立“小金库”；严禁在会议费中列支公务接待费。会议期间，严禁提供高档菜肴，不得安排宴请，不上烟酒；会议不得组织旅游以及与会议无关的参观活动，不得以任何名义发放纪念品。</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七、违规开支差旅费。严禁无明确公务目的的差旅活动；严禁异地部门、学校之间无实质内容的学习交流和考察调研；不得超标准报销差旅费。与出差事项无关的票据，如出差期间餐费（已领包干伙食费）、购物发票、非出差期间的交通票据、非出差人交通票据等，不得在差旅费中报销。报销与出差事项无关的票据，视为使用虚假发票违规开支差旅费。</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lastRenderedPageBreak/>
        <w:t>八、违规开支出国费。不得安排无实质内容的一般性出访和培训，不得安排考察性出访，严禁以各种名义变相公款出国旅游。不得超标准报销出国费。</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九、违规配备和调用公务用车。严格执行公务用车配备标准；公务用车实行政府集中采购，应当选用国产汽车；严禁向下属单位调换、借用车辆或转嫁费用。</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十、违规无预算支出或超预算列支出。严禁超预算或者无预算安排支出，严禁虚列支出、转移或者套取预算资金。严格控制国内差旅费、因公临时出国（境）费、公务接待费、公务用车购置及运行费、会议费、培训费等支出。</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十一、违反政府集中采购规定。应当严格执行政府集中采购规定。单位采购货物和服务，应当严格执行国家和学校有关招标规定，对应当走招标程序的，应严格执行相关规定。</w:t>
      </w:r>
    </w:p>
    <w:p w:rsidR="00E37845" w:rsidRDefault="00E22BDD">
      <w:pPr>
        <w:widowControl/>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br w:type="page"/>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448" w:name="_Toc28025"/>
      <w:bookmarkStart w:id="2449" w:name="_Toc519781015"/>
      <w:bookmarkStart w:id="2450" w:name="_Toc21991"/>
      <w:bookmarkStart w:id="2451" w:name="_Toc9488"/>
      <w:bookmarkStart w:id="2452" w:name="_Toc19146"/>
      <w:bookmarkStart w:id="2453" w:name="_Toc10514"/>
      <w:bookmarkStart w:id="2454" w:name="_Toc5348"/>
      <w:bookmarkStart w:id="2455" w:name="_Toc32481"/>
      <w:bookmarkStart w:id="2456" w:name="_Toc2416"/>
      <w:bookmarkStart w:id="2457" w:name="_Toc23063"/>
      <w:bookmarkStart w:id="2458" w:name="_Toc29211"/>
      <w:bookmarkStart w:id="2459" w:name="_Toc10150"/>
      <w:bookmarkStart w:id="2460" w:name="_Toc29165"/>
      <w:bookmarkStart w:id="2461" w:name="_Toc24101"/>
      <w:bookmarkStart w:id="2462" w:name="_Toc30906"/>
      <w:bookmarkStart w:id="2463" w:name="_Toc7084"/>
      <w:bookmarkStart w:id="2464" w:name="_Toc20086"/>
      <w:bookmarkStart w:id="2465" w:name="_Toc17504"/>
      <w:bookmarkStart w:id="2466" w:name="_Toc16854"/>
      <w:bookmarkStart w:id="2467" w:name="_Toc16377"/>
      <w:bookmarkStart w:id="2468" w:name="_Toc24386"/>
      <w:bookmarkStart w:id="2469" w:name="_Toc28365"/>
      <w:bookmarkStart w:id="2470" w:name="_Toc1149"/>
      <w:bookmarkStart w:id="2471" w:name="_Toc5777"/>
      <w:bookmarkStart w:id="2472" w:name="_Toc30982"/>
      <w:bookmarkStart w:id="2473" w:name="_Toc305"/>
      <w:r>
        <w:rPr>
          <w:rFonts w:ascii="黑体" w:eastAsia="黑体" w:hAnsi="黑体" w:cs="黑体" w:hint="eastAsia"/>
          <w:color w:val="000000" w:themeColor="text1"/>
          <w:sz w:val="28"/>
          <w:szCs w:val="28"/>
        </w:rPr>
        <w:lastRenderedPageBreak/>
        <w:t>8.2经费支出审批权限</w:t>
      </w:r>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p>
    <w:p w:rsidR="00E37845" w:rsidRDefault="00E22BDD">
      <w:pPr>
        <w:widowControl/>
        <w:adjustRightInd w:val="0"/>
        <w:snapToGrid w:val="0"/>
        <w:spacing w:line="360" w:lineRule="auto"/>
        <w:ind w:firstLineChars="200" w:firstLine="420"/>
        <w:jc w:val="right"/>
        <w:rPr>
          <w:rFonts w:ascii="仿宋_GB2312" w:eastAsia="仿宋_GB2312" w:hAnsi="仿宋_GB2312" w:cs="仿宋_GB2312"/>
          <w:color w:val="000000" w:themeColor="text1"/>
          <w:kern w:val="0"/>
        </w:rPr>
      </w:pPr>
      <w:r>
        <w:rPr>
          <w:rFonts w:ascii="仿宋_GB2312" w:eastAsia="仿宋_GB2312" w:hAnsi="仿宋_GB2312" w:cs="仿宋_GB2312" w:hint="eastAsia"/>
          <w:color w:val="000000" w:themeColor="text1"/>
        </w:rPr>
        <w:t>金额单位：     万元</w:t>
      </w:r>
    </w:p>
    <w:tbl>
      <w:tblPr>
        <w:tblW w:w="8992" w:type="dxa"/>
        <w:jc w:val="center"/>
        <w:tblLayout w:type="fixed"/>
        <w:tblLook w:val="04A0" w:firstRow="1" w:lastRow="0" w:firstColumn="1" w:lastColumn="0" w:noHBand="0" w:noVBand="1"/>
      </w:tblPr>
      <w:tblGrid>
        <w:gridCol w:w="1961"/>
        <w:gridCol w:w="1557"/>
        <w:gridCol w:w="1758"/>
        <w:gridCol w:w="1392"/>
        <w:gridCol w:w="1220"/>
        <w:gridCol w:w="1104"/>
      </w:tblGrid>
      <w:tr w:rsidR="00E37845">
        <w:trPr>
          <w:trHeight w:val="702"/>
          <w:jc w:val="center"/>
        </w:trPr>
        <w:tc>
          <w:tcPr>
            <w:tcW w:w="3518" w:type="dxa"/>
            <w:gridSpan w:val="2"/>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jc w:val="center"/>
              <w:rPr>
                <w:rFonts w:ascii="仿宋_GB2312" w:eastAsia="仿宋_GB2312" w:hAnsi="仿宋_GB2312" w:cs="仿宋_GB2312"/>
                <w:b/>
                <w:bCs/>
                <w:color w:val="000000" w:themeColor="text1"/>
              </w:rPr>
            </w:pPr>
            <w:r>
              <w:rPr>
                <w:rFonts w:ascii="仿宋_GB2312" w:eastAsia="仿宋_GB2312" w:hAnsi="仿宋_GB2312" w:cs="仿宋_GB2312" w:hint="eastAsia"/>
                <w:b/>
                <w:bCs/>
                <w:color w:val="000000" w:themeColor="text1"/>
              </w:rPr>
              <w:t>项目</w:t>
            </w:r>
          </w:p>
        </w:tc>
        <w:tc>
          <w:tcPr>
            <w:tcW w:w="1758"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jc w:val="center"/>
              <w:rPr>
                <w:rFonts w:ascii="仿宋_GB2312" w:eastAsia="仿宋_GB2312" w:hAnsi="仿宋_GB2312" w:cs="仿宋_GB2312"/>
                <w:b/>
                <w:bCs/>
                <w:color w:val="000000" w:themeColor="text1"/>
              </w:rPr>
            </w:pPr>
            <w:r>
              <w:rPr>
                <w:rFonts w:ascii="仿宋_GB2312" w:eastAsia="仿宋_GB2312" w:hAnsi="仿宋_GB2312" w:cs="仿宋_GB2312" w:hint="eastAsia"/>
                <w:b/>
                <w:bCs/>
                <w:color w:val="000000" w:themeColor="text1"/>
              </w:rPr>
              <w:t>单位（项目）负责人</w:t>
            </w:r>
          </w:p>
        </w:tc>
        <w:tc>
          <w:tcPr>
            <w:tcW w:w="1392"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jc w:val="center"/>
              <w:rPr>
                <w:rFonts w:ascii="仿宋_GB2312" w:eastAsia="仿宋_GB2312" w:hAnsi="仿宋_GB2312" w:cs="仿宋_GB2312"/>
                <w:b/>
                <w:bCs/>
                <w:color w:val="000000" w:themeColor="text1"/>
              </w:rPr>
            </w:pPr>
            <w:r>
              <w:rPr>
                <w:rFonts w:ascii="仿宋_GB2312" w:eastAsia="仿宋_GB2312" w:hAnsi="仿宋_GB2312" w:cs="仿宋_GB2312" w:hint="eastAsia"/>
                <w:b/>
                <w:bCs/>
                <w:color w:val="000000" w:themeColor="text1"/>
              </w:rPr>
              <w:t>分管副校级领导</w:t>
            </w:r>
          </w:p>
        </w:tc>
        <w:tc>
          <w:tcPr>
            <w:tcW w:w="1220"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jc w:val="center"/>
              <w:rPr>
                <w:rFonts w:ascii="仿宋_GB2312" w:eastAsia="仿宋_GB2312" w:hAnsi="仿宋_GB2312" w:cs="仿宋_GB2312"/>
                <w:b/>
                <w:bCs/>
                <w:color w:val="000000" w:themeColor="text1"/>
              </w:rPr>
            </w:pPr>
            <w:r>
              <w:rPr>
                <w:rFonts w:ascii="仿宋_GB2312" w:eastAsia="仿宋_GB2312" w:hAnsi="仿宋_GB2312" w:cs="仿宋_GB2312" w:hint="eastAsia"/>
                <w:b/>
                <w:bCs/>
                <w:color w:val="000000" w:themeColor="text1"/>
              </w:rPr>
              <w:t>分管财务校级领导</w:t>
            </w:r>
          </w:p>
        </w:tc>
        <w:tc>
          <w:tcPr>
            <w:tcW w:w="1104"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jc w:val="center"/>
              <w:rPr>
                <w:rFonts w:ascii="仿宋_GB2312" w:eastAsia="仿宋_GB2312" w:hAnsi="仿宋_GB2312" w:cs="仿宋_GB2312"/>
                <w:b/>
                <w:bCs/>
                <w:color w:val="000000" w:themeColor="text1"/>
              </w:rPr>
            </w:pPr>
            <w:r>
              <w:rPr>
                <w:rFonts w:ascii="仿宋_GB2312" w:eastAsia="仿宋_GB2312" w:hAnsi="仿宋_GB2312" w:cs="仿宋_GB2312" w:hint="eastAsia"/>
                <w:b/>
                <w:bCs/>
                <w:color w:val="000000" w:themeColor="text1"/>
              </w:rPr>
              <w:t>校长</w:t>
            </w:r>
          </w:p>
        </w:tc>
      </w:tr>
      <w:tr w:rsidR="00E37845">
        <w:trPr>
          <w:trHeight w:val="1316"/>
          <w:jc w:val="center"/>
        </w:trPr>
        <w:tc>
          <w:tcPr>
            <w:tcW w:w="1961" w:type="dxa"/>
            <w:tcBorders>
              <w:top w:val="nil"/>
              <w:left w:val="single" w:sz="4" w:space="0" w:color="auto"/>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color w:val="000000" w:themeColor="text1"/>
                <w:sz w:val="20"/>
                <w:szCs w:val="20"/>
              </w:rPr>
              <w:t>1、年度预算内按标准发放和按合同支付的正常的人员经费和日常运行经费支出审批</w:t>
            </w:r>
          </w:p>
        </w:tc>
        <w:tc>
          <w:tcPr>
            <w:tcW w:w="1557"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sz w:val="20"/>
                <w:szCs w:val="20"/>
              </w:rPr>
              <w:t>人员工资等、奖助学金、两房补贴等；物业管理、网络维护等</w:t>
            </w:r>
          </w:p>
        </w:tc>
        <w:tc>
          <w:tcPr>
            <w:tcW w:w="1758"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sz w:val="20"/>
                <w:szCs w:val="20"/>
              </w:rPr>
              <w:t>由各部门负责人审批</w:t>
            </w:r>
          </w:p>
        </w:tc>
        <w:tc>
          <w:tcPr>
            <w:tcW w:w="1392"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sz w:val="20"/>
                <w:szCs w:val="20"/>
              </w:rPr>
              <w:t>—</w:t>
            </w:r>
          </w:p>
        </w:tc>
        <w:tc>
          <w:tcPr>
            <w:tcW w:w="1220"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sz w:val="20"/>
                <w:szCs w:val="20"/>
              </w:rPr>
              <w:t>—</w:t>
            </w:r>
          </w:p>
        </w:tc>
        <w:tc>
          <w:tcPr>
            <w:tcW w:w="1104"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sz w:val="20"/>
                <w:szCs w:val="20"/>
              </w:rPr>
              <w:t>—</w:t>
            </w:r>
          </w:p>
        </w:tc>
      </w:tr>
      <w:tr w:rsidR="00E37845">
        <w:trPr>
          <w:trHeight w:val="1681"/>
          <w:jc w:val="center"/>
        </w:trPr>
        <w:tc>
          <w:tcPr>
            <w:tcW w:w="1961" w:type="dxa"/>
            <w:tcBorders>
              <w:top w:val="nil"/>
              <w:left w:val="single" w:sz="4" w:space="0" w:color="auto"/>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color w:val="000000" w:themeColor="text1"/>
                <w:sz w:val="20"/>
                <w:szCs w:val="20"/>
              </w:rPr>
              <w:t>2、其他日常运行经费和专项经费（不包括科研项目经费）使用的审批权限</w:t>
            </w:r>
          </w:p>
        </w:tc>
        <w:tc>
          <w:tcPr>
            <w:tcW w:w="1557"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其他日常运行经费和消耗性专项经费、基本建设、大型维修维护工程项目经费、大型会议经费及各类财产物资设备的购置等</w:t>
            </w:r>
          </w:p>
        </w:tc>
        <w:tc>
          <w:tcPr>
            <w:tcW w:w="1758"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color w:val="000000" w:themeColor="text1"/>
                <w:sz w:val="20"/>
                <w:szCs w:val="20"/>
              </w:rPr>
              <w:t>10↓</w:t>
            </w:r>
          </w:p>
        </w:tc>
        <w:tc>
          <w:tcPr>
            <w:tcW w:w="1392"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color w:val="000000" w:themeColor="text1"/>
                <w:sz w:val="20"/>
                <w:szCs w:val="20"/>
              </w:rPr>
              <w:t>10-100↓</w:t>
            </w:r>
          </w:p>
        </w:tc>
        <w:tc>
          <w:tcPr>
            <w:tcW w:w="1220"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color w:val="000000" w:themeColor="text1"/>
                <w:sz w:val="20"/>
                <w:szCs w:val="20"/>
              </w:rPr>
              <w:t>100↑</w:t>
            </w:r>
          </w:p>
        </w:tc>
        <w:tc>
          <w:tcPr>
            <w:tcW w:w="1104" w:type="dxa"/>
            <w:tcBorders>
              <w:top w:val="nil"/>
              <w:left w:val="nil"/>
              <w:bottom w:val="nil"/>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sz w:val="20"/>
                <w:szCs w:val="20"/>
              </w:rPr>
              <w:t>—</w:t>
            </w:r>
          </w:p>
        </w:tc>
      </w:tr>
      <w:tr w:rsidR="00E37845">
        <w:trPr>
          <w:trHeight w:val="1312"/>
          <w:jc w:val="center"/>
        </w:trPr>
        <w:tc>
          <w:tcPr>
            <w:tcW w:w="1961" w:type="dxa"/>
            <w:vMerge w:val="restart"/>
            <w:tcBorders>
              <w:top w:val="nil"/>
              <w:left w:val="single" w:sz="4" w:space="0" w:color="auto"/>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sz w:val="20"/>
                <w:szCs w:val="20"/>
              </w:rPr>
              <w:t>部分特别专项：</w:t>
            </w:r>
          </w:p>
        </w:tc>
        <w:tc>
          <w:tcPr>
            <w:tcW w:w="1557"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color w:val="000000" w:themeColor="text1"/>
                <w:sz w:val="20"/>
                <w:szCs w:val="20"/>
              </w:rPr>
              <w:t>1.机动费</w:t>
            </w:r>
          </w:p>
        </w:tc>
        <w:tc>
          <w:tcPr>
            <w:tcW w:w="1758"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sz w:val="20"/>
                <w:szCs w:val="20"/>
              </w:rPr>
              <w:t>—</w:t>
            </w:r>
          </w:p>
        </w:tc>
        <w:tc>
          <w:tcPr>
            <w:tcW w:w="1392"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sz w:val="20"/>
                <w:szCs w:val="20"/>
              </w:rPr>
              <w:t>—</w:t>
            </w:r>
          </w:p>
        </w:tc>
        <w:tc>
          <w:tcPr>
            <w:tcW w:w="1220"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color w:val="000000" w:themeColor="text1"/>
                <w:sz w:val="20"/>
                <w:szCs w:val="20"/>
              </w:rPr>
              <w:t>10↓</w:t>
            </w:r>
          </w:p>
        </w:tc>
        <w:tc>
          <w:tcPr>
            <w:tcW w:w="1104"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color w:val="000000" w:themeColor="text1"/>
                <w:sz w:val="20"/>
                <w:szCs w:val="20"/>
              </w:rPr>
              <w:t>10↑经校长办公会议或校常委会审议</w:t>
            </w:r>
          </w:p>
        </w:tc>
      </w:tr>
      <w:tr w:rsidR="00E37845">
        <w:trPr>
          <w:trHeight w:val="705"/>
          <w:jc w:val="center"/>
        </w:trPr>
        <w:tc>
          <w:tcPr>
            <w:tcW w:w="1961" w:type="dxa"/>
            <w:vMerge/>
            <w:tcBorders>
              <w:top w:val="nil"/>
              <w:left w:val="single" w:sz="4" w:space="0" w:color="auto"/>
              <w:bottom w:val="single" w:sz="4" w:space="0" w:color="auto"/>
              <w:right w:val="single" w:sz="4" w:space="0" w:color="auto"/>
            </w:tcBorders>
            <w:vAlign w:val="center"/>
          </w:tcPr>
          <w:p w:rsidR="00E37845" w:rsidRDefault="00E37845">
            <w:pPr>
              <w:adjustRightInd w:val="0"/>
              <w:snapToGrid w:val="0"/>
              <w:spacing w:line="416" w:lineRule="auto"/>
              <w:rPr>
                <w:rFonts w:ascii="仿宋_GB2312" w:eastAsia="仿宋_GB2312" w:hAnsi="仿宋_GB2312" w:cs="仿宋_GB2312"/>
                <w:color w:val="000000" w:themeColor="text1"/>
                <w:sz w:val="20"/>
                <w:szCs w:val="20"/>
              </w:rPr>
            </w:pPr>
          </w:p>
        </w:tc>
        <w:tc>
          <w:tcPr>
            <w:tcW w:w="1557"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color w:val="000000" w:themeColor="text1"/>
                <w:sz w:val="20"/>
                <w:szCs w:val="20"/>
              </w:rPr>
              <w:t>2.信息化工程项目</w:t>
            </w:r>
          </w:p>
        </w:tc>
        <w:tc>
          <w:tcPr>
            <w:tcW w:w="1758"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sz w:val="20"/>
                <w:szCs w:val="20"/>
              </w:rPr>
              <w:t>—</w:t>
            </w:r>
          </w:p>
        </w:tc>
        <w:tc>
          <w:tcPr>
            <w:tcW w:w="1392"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color w:val="000000" w:themeColor="text1"/>
                <w:sz w:val="20"/>
                <w:szCs w:val="20"/>
              </w:rPr>
              <w:t>20↑需上报市信息化行政主管部门</w:t>
            </w:r>
          </w:p>
        </w:tc>
        <w:tc>
          <w:tcPr>
            <w:tcW w:w="1220"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sz w:val="20"/>
                <w:szCs w:val="20"/>
              </w:rPr>
              <w:t>—</w:t>
            </w:r>
          </w:p>
        </w:tc>
        <w:tc>
          <w:tcPr>
            <w:tcW w:w="1104"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sz w:val="20"/>
                <w:szCs w:val="20"/>
              </w:rPr>
              <w:t>—</w:t>
            </w:r>
          </w:p>
        </w:tc>
      </w:tr>
      <w:tr w:rsidR="00E37845">
        <w:trPr>
          <w:trHeight w:val="705"/>
          <w:jc w:val="center"/>
        </w:trPr>
        <w:tc>
          <w:tcPr>
            <w:tcW w:w="1961" w:type="dxa"/>
            <w:vMerge/>
            <w:tcBorders>
              <w:top w:val="nil"/>
              <w:left w:val="single" w:sz="4" w:space="0" w:color="auto"/>
              <w:bottom w:val="single" w:sz="4" w:space="0" w:color="auto"/>
              <w:right w:val="single" w:sz="4" w:space="0" w:color="auto"/>
            </w:tcBorders>
            <w:vAlign w:val="center"/>
          </w:tcPr>
          <w:p w:rsidR="00E37845" w:rsidRDefault="00E37845">
            <w:pPr>
              <w:adjustRightInd w:val="0"/>
              <w:snapToGrid w:val="0"/>
              <w:spacing w:line="416" w:lineRule="auto"/>
              <w:rPr>
                <w:rFonts w:ascii="仿宋_GB2312" w:eastAsia="仿宋_GB2312" w:hAnsi="仿宋_GB2312" w:cs="仿宋_GB2312"/>
                <w:color w:val="000000" w:themeColor="text1"/>
                <w:sz w:val="20"/>
                <w:szCs w:val="20"/>
              </w:rPr>
            </w:pPr>
          </w:p>
        </w:tc>
        <w:tc>
          <w:tcPr>
            <w:tcW w:w="1557" w:type="dxa"/>
            <w:vMerge w:val="restart"/>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color w:val="000000" w:themeColor="text1"/>
                <w:sz w:val="20"/>
                <w:szCs w:val="20"/>
              </w:rPr>
              <w:t>3.基建维修工程类</w:t>
            </w:r>
          </w:p>
        </w:tc>
        <w:tc>
          <w:tcPr>
            <w:tcW w:w="1758"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sz w:val="20"/>
                <w:szCs w:val="20"/>
              </w:rPr>
              <w:t>预算</w:t>
            </w:r>
          </w:p>
        </w:tc>
        <w:tc>
          <w:tcPr>
            <w:tcW w:w="1392"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color w:val="000000" w:themeColor="text1"/>
                <w:sz w:val="20"/>
                <w:szCs w:val="20"/>
              </w:rPr>
              <w:t>10-100↓报校审计处</w:t>
            </w:r>
          </w:p>
        </w:tc>
        <w:tc>
          <w:tcPr>
            <w:tcW w:w="1220"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color w:val="000000" w:themeColor="text1"/>
                <w:sz w:val="20"/>
                <w:szCs w:val="20"/>
              </w:rPr>
              <w:t>100↑报市财评中心</w:t>
            </w:r>
          </w:p>
        </w:tc>
        <w:tc>
          <w:tcPr>
            <w:tcW w:w="1104"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sz w:val="20"/>
                <w:szCs w:val="20"/>
              </w:rPr>
              <w:t>—</w:t>
            </w:r>
          </w:p>
        </w:tc>
      </w:tr>
      <w:tr w:rsidR="00E37845">
        <w:trPr>
          <w:trHeight w:val="705"/>
          <w:jc w:val="center"/>
        </w:trPr>
        <w:tc>
          <w:tcPr>
            <w:tcW w:w="1961" w:type="dxa"/>
            <w:vMerge/>
            <w:tcBorders>
              <w:top w:val="nil"/>
              <w:left w:val="single" w:sz="4" w:space="0" w:color="auto"/>
              <w:bottom w:val="single" w:sz="4" w:space="0" w:color="auto"/>
              <w:right w:val="single" w:sz="4" w:space="0" w:color="auto"/>
            </w:tcBorders>
            <w:vAlign w:val="center"/>
          </w:tcPr>
          <w:p w:rsidR="00E37845" w:rsidRDefault="00E37845">
            <w:pPr>
              <w:adjustRightInd w:val="0"/>
              <w:snapToGrid w:val="0"/>
              <w:spacing w:line="416" w:lineRule="auto"/>
              <w:rPr>
                <w:rFonts w:ascii="仿宋_GB2312" w:eastAsia="仿宋_GB2312" w:hAnsi="仿宋_GB2312" w:cs="仿宋_GB2312"/>
                <w:color w:val="000000" w:themeColor="text1"/>
                <w:sz w:val="20"/>
                <w:szCs w:val="20"/>
              </w:rPr>
            </w:pPr>
          </w:p>
        </w:tc>
        <w:tc>
          <w:tcPr>
            <w:tcW w:w="1557" w:type="dxa"/>
            <w:vMerge/>
            <w:tcBorders>
              <w:top w:val="nil"/>
              <w:left w:val="nil"/>
              <w:bottom w:val="single" w:sz="4" w:space="0" w:color="auto"/>
              <w:right w:val="single" w:sz="4" w:space="0" w:color="auto"/>
            </w:tcBorders>
            <w:vAlign w:val="center"/>
          </w:tcPr>
          <w:p w:rsidR="00E37845" w:rsidRDefault="00E37845">
            <w:pPr>
              <w:adjustRightInd w:val="0"/>
              <w:snapToGrid w:val="0"/>
              <w:spacing w:line="416" w:lineRule="auto"/>
              <w:rPr>
                <w:rFonts w:ascii="仿宋_GB2312" w:eastAsia="仿宋_GB2312" w:hAnsi="仿宋_GB2312" w:cs="仿宋_GB2312"/>
                <w:color w:val="000000" w:themeColor="text1"/>
                <w:sz w:val="20"/>
                <w:szCs w:val="20"/>
              </w:rPr>
            </w:pPr>
          </w:p>
        </w:tc>
        <w:tc>
          <w:tcPr>
            <w:tcW w:w="1758"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sz w:val="20"/>
                <w:szCs w:val="20"/>
              </w:rPr>
              <w:t>结算</w:t>
            </w:r>
          </w:p>
        </w:tc>
        <w:tc>
          <w:tcPr>
            <w:tcW w:w="1392"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color w:val="000000" w:themeColor="text1"/>
                <w:sz w:val="20"/>
                <w:szCs w:val="20"/>
              </w:rPr>
              <w:t>5-100↓报学校审计处</w:t>
            </w:r>
          </w:p>
        </w:tc>
        <w:tc>
          <w:tcPr>
            <w:tcW w:w="1220"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color w:val="000000" w:themeColor="text1"/>
                <w:sz w:val="20"/>
                <w:szCs w:val="20"/>
              </w:rPr>
              <w:t>100↑报市财评中心</w:t>
            </w:r>
          </w:p>
        </w:tc>
        <w:tc>
          <w:tcPr>
            <w:tcW w:w="1104"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sz w:val="20"/>
                <w:szCs w:val="20"/>
              </w:rPr>
              <w:t>—</w:t>
            </w:r>
          </w:p>
        </w:tc>
      </w:tr>
      <w:tr w:rsidR="00E37845">
        <w:trPr>
          <w:trHeight w:val="705"/>
          <w:jc w:val="center"/>
        </w:trPr>
        <w:tc>
          <w:tcPr>
            <w:tcW w:w="1961" w:type="dxa"/>
            <w:tcBorders>
              <w:top w:val="nil"/>
              <w:left w:val="single" w:sz="4" w:space="0" w:color="auto"/>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color w:val="000000" w:themeColor="text1"/>
                <w:sz w:val="20"/>
                <w:szCs w:val="20"/>
              </w:rPr>
              <w:t>3、各单位创收经费和承办经费审批权限</w:t>
            </w:r>
          </w:p>
        </w:tc>
        <w:tc>
          <w:tcPr>
            <w:tcW w:w="1557"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sz w:val="20"/>
                <w:szCs w:val="20"/>
              </w:rPr>
              <w:t>各单位的讲课酬金、以考务费等承办经费为主的事项</w:t>
            </w:r>
          </w:p>
        </w:tc>
        <w:tc>
          <w:tcPr>
            <w:tcW w:w="1758"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color w:val="000000" w:themeColor="text1"/>
                <w:sz w:val="20"/>
                <w:szCs w:val="20"/>
              </w:rPr>
              <w:t>10↓</w:t>
            </w:r>
          </w:p>
        </w:tc>
        <w:tc>
          <w:tcPr>
            <w:tcW w:w="1392"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color w:val="000000" w:themeColor="text1"/>
                <w:sz w:val="20"/>
                <w:szCs w:val="20"/>
              </w:rPr>
              <w:t>10↑</w:t>
            </w:r>
          </w:p>
        </w:tc>
        <w:tc>
          <w:tcPr>
            <w:tcW w:w="1220"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sz w:val="20"/>
                <w:szCs w:val="20"/>
              </w:rPr>
              <w:t>—</w:t>
            </w:r>
          </w:p>
        </w:tc>
        <w:tc>
          <w:tcPr>
            <w:tcW w:w="1104"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sz w:val="20"/>
                <w:szCs w:val="20"/>
              </w:rPr>
              <w:t>—</w:t>
            </w:r>
          </w:p>
        </w:tc>
      </w:tr>
      <w:tr w:rsidR="00E37845">
        <w:trPr>
          <w:trHeight w:val="495"/>
          <w:jc w:val="center"/>
        </w:trPr>
        <w:tc>
          <w:tcPr>
            <w:tcW w:w="1961" w:type="dxa"/>
            <w:vMerge w:val="restart"/>
            <w:tcBorders>
              <w:top w:val="nil"/>
              <w:left w:val="single" w:sz="4" w:space="0" w:color="auto"/>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color w:val="000000" w:themeColor="text1"/>
                <w:sz w:val="20"/>
                <w:szCs w:val="20"/>
              </w:rPr>
              <w:t>4、科研经费审批权限</w:t>
            </w:r>
          </w:p>
        </w:tc>
        <w:tc>
          <w:tcPr>
            <w:tcW w:w="1557" w:type="dxa"/>
            <w:vMerge w:val="restart"/>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sz w:val="20"/>
                <w:szCs w:val="20"/>
              </w:rPr>
              <w:t>科研经费开支</w:t>
            </w:r>
          </w:p>
        </w:tc>
        <w:tc>
          <w:tcPr>
            <w:tcW w:w="1758"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18"/>
                <w:szCs w:val="18"/>
              </w:rPr>
            </w:pPr>
            <w:r>
              <w:rPr>
                <w:rFonts w:ascii="仿宋_GB2312" w:eastAsia="仿宋_GB2312" w:hAnsi="仿宋_GB2312" w:cs="仿宋_GB2312"/>
                <w:color w:val="000000" w:themeColor="text1"/>
                <w:sz w:val="18"/>
                <w:szCs w:val="18"/>
              </w:rPr>
              <w:t>10↓由项目负责人审批</w:t>
            </w:r>
          </w:p>
        </w:tc>
        <w:tc>
          <w:tcPr>
            <w:tcW w:w="1392" w:type="dxa"/>
            <w:vMerge w:val="restart"/>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sz w:val="20"/>
                <w:szCs w:val="20"/>
              </w:rPr>
              <w:t>—</w:t>
            </w:r>
          </w:p>
        </w:tc>
        <w:tc>
          <w:tcPr>
            <w:tcW w:w="1220" w:type="dxa"/>
            <w:vMerge w:val="restart"/>
            <w:tcBorders>
              <w:top w:val="nil"/>
              <w:left w:val="nil"/>
              <w:bottom w:val="single" w:sz="4" w:space="0" w:color="000000"/>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sz w:val="20"/>
                <w:szCs w:val="20"/>
              </w:rPr>
              <w:t>—</w:t>
            </w:r>
          </w:p>
        </w:tc>
        <w:tc>
          <w:tcPr>
            <w:tcW w:w="1104" w:type="dxa"/>
            <w:vMerge w:val="restart"/>
            <w:tcBorders>
              <w:top w:val="nil"/>
              <w:left w:val="nil"/>
              <w:bottom w:val="single" w:sz="4" w:space="0" w:color="000000"/>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20"/>
                <w:szCs w:val="20"/>
              </w:rPr>
            </w:pPr>
            <w:r>
              <w:rPr>
                <w:rFonts w:ascii="仿宋_GB2312" w:eastAsia="仿宋_GB2312" w:hAnsi="仿宋_GB2312" w:cs="仿宋_GB2312" w:hint="eastAsia"/>
                <w:color w:val="000000" w:themeColor="text1"/>
                <w:sz w:val="20"/>
                <w:szCs w:val="20"/>
              </w:rPr>
              <w:t>—</w:t>
            </w:r>
          </w:p>
        </w:tc>
      </w:tr>
      <w:tr w:rsidR="00E37845">
        <w:trPr>
          <w:trHeight w:val="705"/>
          <w:jc w:val="center"/>
        </w:trPr>
        <w:tc>
          <w:tcPr>
            <w:tcW w:w="1961" w:type="dxa"/>
            <w:vMerge/>
            <w:tcBorders>
              <w:top w:val="nil"/>
              <w:left w:val="single" w:sz="4" w:space="0" w:color="auto"/>
              <w:bottom w:val="single" w:sz="4" w:space="0" w:color="auto"/>
              <w:right w:val="single" w:sz="4" w:space="0" w:color="auto"/>
            </w:tcBorders>
            <w:vAlign w:val="center"/>
          </w:tcPr>
          <w:p w:rsidR="00E37845" w:rsidRDefault="00E37845">
            <w:pPr>
              <w:adjustRightInd w:val="0"/>
              <w:snapToGrid w:val="0"/>
              <w:spacing w:line="416" w:lineRule="auto"/>
              <w:rPr>
                <w:rFonts w:ascii="仿宋_GB2312" w:eastAsia="仿宋_GB2312" w:hAnsi="仿宋_GB2312" w:cs="仿宋_GB2312"/>
                <w:color w:val="000000" w:themeColor="text1"/>
              </w:rPr>
            </w:pPr>
          </w:p>
        </w:tc>
        <w:tc>
          <w:tcPr>
            <w:tcW w:w="1557" w:type="dxa"/>
            <w:vMerge/>
            <w:tcBorders>
              <w:top w:val="nil"/>
              <w:left w:val="nil"/>
              <w:bottom w:val="single" w:sz="4" w:space="0" w:color="auto"/>
              <w:right w:val="single" w:sz="4" w:space="0" w:color="auto"/>
            </w:tcBorders>
            <w:vAlign w:val="center"/>
          </w:tcPr>
          <w:p w:rsidR="00E37845" w:rsidRDefault="00E37845">
            <w:pPr>
              <w:adjustRightInd w:val="0"/>
              <w:snapToGrid w:val="0"/>
              <w:spacing w:line="416" w:lineRule="auto"/>
              <w:rPr>
                <w:rFonts w:ascii="仿宋_GB2312" w:eastAsia="仿宋_GB2312" w:hAnsi="仿宋_GB2312" w:cs="仿宋_GB2312"/>
                <w:color w:val="000000" w:themeColor="text1"/>
              </w:rPr>
            </w:pPr>
          </w:p>
        </w:tc>
        <w:tc>
          <w:tcPr>
            <w:tcW w:w="1758"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18"/>
                <w:szCs w:val="18"/>
              </w:rPr>
            </w:pPr>
            <w:r>
              <w:rPr>
                <w:rFonts w:ascii="仿宋_GB2312" w:eastAsia="仿宋_GB2312" w:hAnsi="仿宋_GB2312" w:cs="仿宋_GB2312"/>
                <w:color w:val="000000" w:themeColor="text1"/>
                <w:sz w:val="18"/>
                <w:szCs w:val="18"/>
              </w:rPr>
              <w:t>10-50↓由项目负责人所在单位的行政负责人加签</w:t>
            </w:r>
          </w:p>
        </w:tc>
        <w:tc>
          <w:tcPr>
            <w:tcW w:w="1392" w:type="dxa"/>
            <w:vMerge/>
            <w:tcBorders>
              <w:top w:val="nil"/>
              <w:left w:val="nil"/>
              <w:bottom w:val="single" w:sz="4" w:space="0" w:color="auto"/>
              <w:right w:val="single" w:sz="4" w:space="0" w:color="auto"/>
            </w:tcBorders>
            <w:vAlign w:val="center"/>
          </w:tcPr>
          <w:p w:rsidR="00E37845" w:rsidRDefault="00E37845">
            <w:pPr>
              <w:adjustRightInd w:val="0"/>
              <w:snapToGrid w:val="0"/>
              <w:rPr>
                <w:rFonts w:ascii="仿宋_GB2312" w:eastAsia="仿宋_GB2312" w:hAnsi="仿宋_GB2312" w:cs="仿宋_GB2312"/>
                <w:color w:val="000000" w:themeColor="text1"/>
              </w:rPr>
            </w:pPr>
          </w:p>
        </w:tc>
        <w:tc>
          <w:tcPr>
            <w:tcW w:w="1220" w:type="dxa"/>
            <w:vMerge/>
            <w:tcBorders>
              <w:top w:val="nil"/>
              <w:left w:val="nil"/>
              <w:bottom w:val="single" w:sz="4" w:space="0" w:color="000000"/>
              <w:right w:val="single" w:sz="4" w:space="0" w:color="auto"/>
            </w:tcBorders>
            <w:vAlign w:val="center"/>
          </w:tcPr>
          <w:p w:rsidR="00E37845" w:rsidRDefault="00E37845">
            <w:pPr>
              <w:adjustRightInd w:val="0"/>
              <w:snapToGrid w:val="0"/>
              <w:rPr>
                <w:rFonts w:ascii="仿宋_GB2312" w:eastAsia="仿宋_GB2312" w:hAnsi="仿宋_GB2312" w:cs="仿宋_GB2312"/>
                <w:color w:val="000000" w:themeColor="text1"/>
              </w:rPr>
            </w:pPr>
          </w:p>
        </w:tc>
        <w:tc>
          <w:tcPr>
            <w:tcW w:w="1104" w:type="dxa"/>
            <w:vMerge/>
            <w:tcBorders>
              <w:top w:val="nil"/>
              <w:left w:val="nil"/>
              <w:bottom w:val="single" w:sz="4" w:space="0" w:color="000000"/>
              <w:right w:val="single" w:sz="4" w:space="0" w:color="auto"/>
            </w:tcBorders>
            <w:vAlign w:val="center"/>
          </w:tcPr>
          <w:p w:rsidR="00E37845" w:rsidRDefault="00E37845">
            <w:pPr>
              <w:adjustRightInd w:val="0"/>
              <w:snapToGrid w:val="0"/>
              <w:rPr>
                <w:rFonts w:ascii="仿宋_GB2312" w:eastAsia="仿宋_GB2312" w:hAnsi="仿宋_GB2312" w:cs="仿宋_GB2312"/>
                <w:color w:val="000000" w:themeColor="text1"/>
              </w:rPr>
            </w:pPr>
          </w:p>
        </w:tc>
      </w:tr>
      <w:tr w:rsidR="00E37845">
        <w:trPr>
          <w:trHeight w:val="570"/>
          <w:jc w:val="center"/>
        </w:trPr>
        <w:tc>
          <w:tcPr>
            <w:tcW w:w="1961" w:type="dxa"/>
            <w:vMerge/>
            <w:tcBorders>
              <w:top w:val="nil"/>
              <w:left w:val="single" w:sz="4" w:space="0" w:color="auto"/>
              <w:bottom w:val="single" w:sz="4" w:space="0" w:color="auto"/>
              <w:right w:val="single" w:sz="4" w:space="0" w:color="auto"/>
            </w:tcBorders>
            <w:vAlign w:val="center"/>
          </w:tcPr>
          <w:p w:rsidR="00E37845" w:rsidRDefault="00E37845">
            <w:pPr>
              <w:adjustRightInd w:val="0"/>
              <w:snapToGrid w:val="0"/>
              <w:spacing w:line="416" w:lineRule="auto"/>
              <w:rPr>
                <w:rFonts w:ascii="仿宋_GB2312" w:eastAsia="仿宋_GB2312" w:hAnsi="仿宋_GB2312" w:cs="仿宋_GB2312"/>
                <w:color w:val="000000" w:themeColor="text1"/>
              </w:rPr>
            </w:pPr>
          </w:p>
        </w:tc>
        <w:tc>
          <w:tcPr>
            <w:tcW w:w="1557" w:type="dxa"/>
            <w:vMerge/>
            <w:tcBorders>
              <w:top w:val="nil"/>
              <w:left w:val="nil"/>
              <w:bottom w:val="single" w:sz="4" w:space="0" w:color="auto"/>
              <w:right w:val="single" w:sz="4" w:space="0" w:color="auto"/>
            </w:tcBorders>
            <w:vAlign w:val="center"/>
          </w:tcPr>
          <w:p w:rsidR="00E37845" w:rsidRDefault="00E37845">
            <w:pPr>
              <w:adjustRightInd w:val="0"/>
              <w:snapToGrid w:val="0"/>
              <w:spacing w:line="416" w:lineRule="auto"/>
              <w:rPr>
                <w:rFonts w:ascii="仿宋_GB2312" w:eastAsia="仿宋_GB2312" w:hAnsi="仿宋_GB2312" w:cs="仿宋_GB2312"/>
                <w:color w:val="000000" w:themeColor="text1"/>
              </w:rPr>
            </w:pPr>
          </w:p>
        </w:tc>
        <w:tc>
          <w:tcPr>
            <w:tcW w:w="1758"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18"/>
                <w:szCs w:val="18"/>
              </w:rPr>
            </w:pPr>
            <w:r>
              <w:rPr>
                <w:rFonts w:ascii="仿宋_GB2312" w:eastAsia="仿宋_GB2312" w:hAnsi="仿宋_GB2312" w:cs="仿宋_GB2312"/>
                <w:color w:val="000000" w:themeColor="text1"/>
                <w:sz w:val="18"/>
                <w:szCs w:val="18"/>
              </w:rPr>
              <w:t>50↑由科研管理部门负责人加签</w:t>
            </w:r>
          </w:p>
        </w:tc>
        <w:tc>
          <w:tcPr>
            <w:tcW w:w="1392" w:type="dxa"/>
            <w:vMerge/>
            <w:tcBorders>
              <w:top w:val="nil"/>
              <w:left w:val="nil"/>
              <w:bottom w:val="single" w:sz="4" w:space="0" w:color="auto"/>
              <w:right w:val="single" w:sz="4" w:space="0" w:color="auto"/>
            </w:tcBorders>
            <w:vAlign w:val="center"/>
          </w:tcPr>
          <w:p w:rsidR="00E37845" w:rsidRDefault="00E37845">
            <w:pPr>
              <w:adjustRightInd w:val="0"/>
              <w:snapToGrid w:val="0"/>
              <w:rPr>
                <w:rFonts w:ascii="仿宋_GB2312" w:eastAsia="仿宋_GB2312" w:hAnsi="仿宋_GB2312" w:cs="仿宋_GB2312"/>
                <w:color w:val="000000" w:themeColor="text1"/>
              </w:rPr>
            </w:pPr>
          </w:p>
        </w:tc>
        <w:tc>
          <w:tcPr>
            <w:tcW w:w="1220" w:type="dxa"/>
            <w:vMerge/>
            <w:tcBorders>
              <w:top w:val="nil"/>
              <w:left w:val="nil"/>
              <w:bottom w:val="single" w:sz="4" w:space="0" w:color="000000"/>
              <w:right w:val="single" w:sz="4" w:space="0" w:color="auto"/>
            </w:tcBorders>
            <w:vAlign w:val="center"/>
          </w:tcPr>
          <w:p w:rsidR="00E37845" w:rsidRDefault="00E37845">
            <w:pPr>
              <w:adjustRightInd w:val="0"/>
              <w:snapToGrid w:val="0"/>
              <w:rPr>
                <w:rFonts w:ascii="仿宋_GB2312" w:eastAsia="仿宋_GB2312" w:hAnsi="仿宋_GB2312" w:cs="仿宋_GB2312"/>
                <w:color w:val="000000" w:themeColor="text1"/>
              </w:rPr>
            </w:pPr>
          </w:p>
        </w:tc>
        <w:tc>
          <w:tcPr>
            <w:tcW w:w="1104" w:type="dxa"/>
            <w:vMerge/>
            <w:tcBorders>
              <w:top w:val="nil"/>
              <w:left w:val="nil"/>
              <w:bottom w:val="single" w:sz="4" w:space="0" w:color="000000"/>
              <w:right w:val="single" w:sz="4" w:space="0" w:color="auto"/>
            </w:tcBorders>
            <w:vAlign w:val="center"/>
          </w:tcPr>
          <w:p w:rsidR="00E37845" w:rsidRDefault="00E37845">
            <w:pPr>
              <w:adjustRightInd w:val="0"/>
              <w:snapToGrid w:val="0"/>
              <w:rPr>
                <w:rFonts w:ascii="仿宋_GB2312" w:eastAsia="仿宋_GB2312" w:hAnsi="仿宋_GB2312" w:cs="仿宋_GB2312"/>
                <w:color w:val="000000" w:themeColor="text1"/>
              </w:rPr>
            </w:pPr>
          </w:p>
        </w:tc>
      </w:tr>
      <w:tr w:rsidR="00E37845">
        <w:trPr>
          <w:trHeight w:val="705"/>
          <w:jc w:val="center"/>
        </w:trPr>
        <w:tc>
          <w:tcPr>
            <w:tcW w:w="1961" w:type="dxa"/>
            <w:vMerge/>
            <w:tcBorders>
              <w:top w:val="nil"/>
              <w:left w:val="single" w:sz="4" w:space="0" w:color="auto"/>
              <w:bottom w:val="single" w:sz="4" w:space="0" w:color="auto"/>
              <w:right w:val="single" w:sz="4" w:space="0" w:color="auto"/>
            </w:tcBorders>
            <w:vAlign w:val="center"/>
          </w:tcPr>
          <w:p w:rsidR="00E37845" w:rsidRDefault="00E37845">
            <w:pPr>
              <w:adjustRightInd w:val="0"/>
              <w:snapToGrid w:val="0"/>
              <w:spacing w:line="416" w:lineRule="auto"/>
              <w:rPr>
                <w:rFonts w:ascii="仿宋_GB2312" w:eastAsia="仿宋_GB2312" w:hAnsi="仿宋_GB2312" w:cs="仿宋_GB2312"/>
                <w:color w:val="000000" w:themeColor="text1"/>
              </w:rPr>
            </w:pPr>
          </w:p>
        </w:tc>
        <w:tc>
          <w:tcPr>
            <w:tcW w:w="1557"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科研协作费、合作费</w:t>
            </w:r>
          </w:p>
        </w:tc>
        <w:tc>
          <w:tcPr>
            <w:tcW w:w="1758"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sz w:val="18"/>
                <w:szCs w:val="18"/>
              </w:rPr>
            </w:pPr>
            <w:r>
              <w:rPr>
                <w:rFonts w:ascii="仿宋_GB2312" w:eastAsia="仿宋_GB2312" w:hAnsi="仿宋_GB2312" w:cs="仿宋_GB2312" w:hint="eastAsia"/>
                <w:color w:val="000000" w:themeColor="text1"/>
                <w:sz w:val="18"/>
                <w:szCs w:val="18"/>
              </w:rPr>
              <w:t>（科研管理部门负责人加签）根据国家批准文件或合同协议办理</w:t>
            </w:r>
          </w:p>
        </w:tc>
        <w:tc>
          <w:tcPr>
            <w:tcW w:w="1392"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w:t>
            </w:r>
          </w:p>
        </w:tc>
        <w:tc>
          <w:tcPr>
            <w:tcW w:w="1220"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w:t>
            </w:r>
          </w:p>
        </w:tc>
        <w:tc>
          <w:tcPr>
            <w:tcW w:w="1104" w:type="dxa"/>
            <w:tcBorders>
              <w:top w:val="nil"/>
              <w:left w:val="nil"/>
              <w:bottom w:val="single" w:sz="4" w:space="0" w:color="auto"/>
              <w:right w:val="single" w:sz="4" w:space="0" w:color="auto"/>
            </w:tcBorders>
            <w:vAlign w:val="center"/>
          </w:tcPr>
          <w:p w:rsidR="00E37845" w:rsidRDefault="00E22BDD">
            <w:pPr>
              <w:adjustRightInd w:val="0"/>
              <w:snapToGrid w:val="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w:t>
            </w:r>
          </w:p>
        </w:tc>
      </w:tr>
    </w:tbl>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474" w:name="_Toc21184"/>
      <w:bookmarkStart w:id="2475" w:name="_Toc10107"/>
      <w:bookmarkStart w:id="2476" w:name="_Toc519781016"/>
      <w:bookmarkStart w:id="2477" w:name="_Toc20753"/>
      <w:bookmarkStart w:id="2478" w:name="_Toc15669"/>
      <w:bookmarkStart w:id="2479" w:name="_Toc28700"/>
      <w:bookmarkStart w:id="2480" w:name="_Toc20976"/>
      <w:bookmarkStart w:id="2481" w:name="_Toc22520"/>
      <w:bookmarkStart w:id="2482" w:name="_Toc6301"/>
      <w:bookmarkStart w:id="2483" w:name="_Toc5149"/>
      <w:bookmarkStart w:id="2484" w:name="_Toc20104"/>
      <w:bookmarkStart w:id="2485" w:name="_Toc24234"/>
      <w:bookmarkStart w:id="2486" w:name="_Toc11724"/>
      <w:bookmarkStart w:id="2487" w:name="_Toc15054"/>
      <w:bookmarkStart w:id="2488" w:name="_Toc25310"/>
      <w:bookmarkStart w:id="2489" w:name="_Toc27181"/>
      <w:bookmarkStart w:id="2490" w:name="_Toc31264"/>
      <w:bookmarkStart w:id="2491" w:name="_Toc1401"/>
      <w:bookmarkStart w:id="2492" w:name="_Toc18469"/>
      <w:bookmarkStart w:id="2493" w:name="_Toc4604"/>
      <w:bookmarkStart w:id="2494" w:name="_Toc466"/>
      <w:bookmarkStart w:id="2495" w:name="_Toc25473"/>
      <w:bookmarkStart w:id="2496" w:name="_Toc6676"/>
      <w:bookmarkStart w:id="2497" w:name="_Toc8825"/>
      <w:bookmarkStart w:id="2498" w:name="_Toc28258"/>
      <w:bookmarkStart w:id="2499" w:name="_Toc26103"/>
      <w:r>
        <w:rPr>
          <w:rFonts w:ascii="黑体" w:eastAsia="黑体" w:hAnsi="黑体" w:cs="黑体" w:hint="eastAsia"/>
          <w:color w:val="000000" w:themeColor="text1"/>
          <w:sz w:val="28"/>
          <w:szCs w:val="28"/>
        </w:rPr>
        <w:lastRenderedPageBreak/>
        <w:t>8.3经费支出主要开支标准</w:t>
      </w:r>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500" w:name="_Toc4502"/>
      <w:bookmarkStart w:id="2501" w:name="_Toc519781017"/>
      <w:bookmarkStart w:id="2502" w:name="_Toc19098"/>
      <w:bookmarkStart w:id="2503" w:name="_Toc27403"/>
      <w:bookmarkStart w:id="2504" w:name="_Toc20963"/>
      <w:bookmarkStart w:id="2505" w:name="_Toc13580"/>
      <w:bookmarkStart w:id="2506" w:name="_Toc8289"/>
      <w:bookmarkStart w:id="2507" w:name="_Toc8741"/>
      <w:bookmarkStart w:id="2508" w:name="_Toc23802"/>
      <w:bookmarkStart w:id="2509" w:name="_Toc10208"/>
      <w:bookmarkStart w:id="2510" w:name="_Toc18489"/>
      <w:bookmarkStart w:id="2511" w:name="_Toc1128"/>
      <w:bookmarkStart w:id="2512" w:name="_Toc22659"/>
      <w:bookmarkStart w:id="2513" w:name="_Toc4852"/>
      <w:bookmarkStart w:id="2514" w:name="_Toc8674"/>
      <w:bookmarkStart w:id="2515" w:name="_Toc10408"/>
      <w:bookmarkStart w:id="2516" w:name="_Toc16865"/>
      <w:bookmarkStart w:id="2517" w:name="_Toc9901"/>
      <w:bookmarkStart w:id="2518" w:name="_Toc6432"/>
      <w:bookmarkStart w:id="2519" w:name="_Toc1386"/>
      <w:bookmarkStart w:id="2520" w:name="_Toc4763"/>
      <w:bookmarkStart w:id="2521" w:name="_Toc9701"/>
      <w:bookmarkStart w:id="2522" w:name="_Toc18605"/>
      <w:bookmarkStart w:id="2523" w:name="_Toc5154"/>
      <w:bookmarkStart w:id="2524" w:name="_Toc23843"/>
      <w:bookmarkStart w:id="2525" w:name="_Toc25960"/>
      <w:r>
        <w:rPr>
          <w:rFonts w:ascii="黑体" w:eastAsia="黑体" w:hAnsi="黑体" w:cs="黑体" w:hint="eastAsia"/>
          <w:color w:val="000000" w:themeColor="text1"/>
          <w:sz w:val="28"/>
          <w:szCs w:val="28"/>
        </w:rPr>
        <w:t>8.3.1国内差旅费标准</w:t>
      </w:r>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526" w:name="_Toc9943"/>
      <w:bookmarkStart w:id="2527" w:name="_Toc23302"/>
      <w:bookmarkStart w:id="2528" w:name="_Toc23592"/>
      <w:bookmarkStart w:id="2529" w:name="_Toc28521"/>
      <w:bookmarkStart w:id="2530" w:name="_Toc7525"/>
      <w:bookmarkStart w:id="2531" w:name="_Toc17353"/>
      <w:bookmarkStart w:id="2532" w:name="_Toc12087"/>
      <w:bookmarkStart w:id="2533" w:name="_Toc24818"/>
      <w:bookmarkStart w:id="2534" w:name="_Toc25077"/>
      <w:r>
        <w:rPr>
          <w:rFonts w:ascii="黑体" w:eastAsia="黑体" w:hAnsi="黑体" w:cs="黑体" w:hint="eastAsia"/>
          <w:color w:val="000000" w:themeColor="text1"/>
          <w:sz w:val="28"/>
          <w:szCs w:val="28"/>
        </w:rPr>
        <w:t>8.3.1.1国内差旅费</w:t>
      </w:r>
      <w:bookmarkEnd w:id="2526"/>
      <w:bookmarkEnd w:id="2527"/>
      <w:bookmarkEnd w:id="2528"/>
      <w:bookmarkEnd w:id="2529"/>
      <w:bookmarkEnd w:id="2530"/>
      <w:bookmarkEnd w:id="2531"/>
      <w:bookmarkEnd w:id="2532"/>
      <w:bookmarkEnd w:id="2533"/>
      <w:bookmarkEnd w:id="2534"/>
    </w:p>
    <w:p w:rsidR="00E37845" w:rsidRDefault="00E22BDD">
      <w:pPr>
        <w:spacing w:line="360" w:lineRule="auto"/>
        <w:ind w:firstLineChars="200" w:firstLine="480"/>
        <w:rPr>
          <w:sz w:val="24"/>
        </w:rPr>
      </w:pPr>
      <w:r>
        <w:rPr>
          <w:rFonts w:ascii="仿宋_GB2312" w:eastAsia="仿宋_GB2312" w:hAnsi="仿宋_GB2312" w:cs="仿宋_GB2312" w:hint="eastAsia"/>
          <w:color w:val="000000" w:themeColor="text1"/>
          <w:sz w:val="24"/>
          <w:szCs w:val="24"/>
        </w:rPr>
        <w:t>国内差旅费是指我校工作人员因公到常驻地以外地区出差期间所发生的费用，开支范围包括城市间交通费、住宿费、伙食补助费和市内交通费。</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535" w:name="_Toc21190"/>
      <w:bookmarkStart w:id="2536" w:name="_Toc6829"/>
      <w:bookmarkStart w:id="2537" w:name="_Toc13740"/>
      <w:bookmarkStart w:id="2538" w:name="_Toc20204"/>
      <w:bookmarkStart w:id="2539" w:name="_Toc4549"/>
      <w:bookmarkStart w:id="2540" w:name="_Toc6051"/>
      <w:bookmarkStart w:id="2541" w:name="_Toc31035"/>
      <w:bookmarkStart w:id="2542" w:name="_Toc26235"/>
      <w:bookmarkStart w:id="2543" w:name="_Toc21438"/>
      <w:bookmarkStart w:id="2544" w:name="_Toc28624"/>
      <w:bookmarkStart w:id="2545" w:name="_Toc19957"/>
      <w:bookmarkStart w:id="2546" w:name="_Toc24604"/>
      <w:bookmarkStart w:id="2547" w:name="_Toc2583"/>
      <w:bookmarkStart w:id="2548" w:name="_Toc24422"/>
      <w:bookmarkStart w:id="2549" w:name="_Toc17121"/>
      <w:bookmarkStart w:id="2550" w:name="_Toc8254"/>
      <w:bookmarkStart w:id="2551" w:name="_Toc6351"/>
      <w:bookmarkStart w:id="2552" w:name="_Toc19378"/>
      <w:bookmarkStart w:id="2553" w:name="_Toc26683"/>
      <w:bookmarkStart w:id="2554" w:name="_Toc519781018"/>
      <w:bookmarkStart w:id="2555" w:name="_Toc5251"/>
      <w:bookmarkStart w:id="2556" w:name="_Toc31453"/>
      <w:bookmarkStart w:id="2557" w:name="_Toc8940"/>
      <w:bookmarkStart w:id="2558" w:name="_Toc20138"/>
      <w:bookmarkStart w:id="2559" w:name="_Toc10436"/>
      <w:bookmarkStart w:id="2560" w:name="_Toc27883"/>
      <w:r>
        <w:rPr>
          <w:rFonts w:ascii="黑体" w:eastAsia="黑体" w:hAnsi="黑体" w:cs="黑体" w:hint="eastAsia"/>
          <w:color w:val="000000" w:themeColor="text1"/>
          <w:sz w:val="28"/>
          <w:szCs w:val="28"/>
        </w:rPr>
        <w:t>8.3.1.2开支标准</w:t>
      </w:r>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p>
    <w:p w:rsidR="00E37845" w:rsidRDefault="00E22BDD">
      <w:pPr>
        <w:spacing w:before="10" w:after="10" w:line="360" w:lineRule="auto"/>
        <w:ind w:firstLineChars="200" w:firstLine="482"/>
        <w:jc w:val="left"/>
        <w:rPr>
          <w:rFonts w:ascii="仿宋_GB2312" w:eastAsia="仿宋_GB2312" w:hAnsi="仿宋_GB2312" w:cs="仿宋_GB2312"/>
          <w:b/>
          <w:bCs/>
          <w:color w:val="000000" w:themeColor="text1"/>
          <w:sz w:val="24"/>
          <w:szCs w:val="44"/>
        </w:rPr>
      </w:pPr>
      <w:bookmarkStart w:id="2561" w:name="_Toc21976"/>
      <w:bookmarkStart w:id="2562" w:name="_Toc26435"/>
      <w:bookmarkStart w:id="2563" w:name="_Toc10256"/>
      <w:bookmarkStart w:id="2564" w:name="_Toc1119"/>
      <w:bookmarkStart w:id="2565" w:name="_Toc519781019"/>
      <w:bookmarkStart w:id="2566" w:name="_Toc21273"/>
      <w:bookmarkStart w:id="2567" w:name="_Toc31247"/>
      <w:bookmarkStart w:id="2568" w:name="_Toc19346"/>
      <w:bookmarkStart w:id="2569" w:name="_Toc3226"/>
      <w:r>
        <w:rPr>
          <w:rFonts w:ascii="仿宋_GB2312" w:eastAsia="仿宋_GB2312" w:hAnsi="仿宋_GB2312" w:cs="仿宋_GB2312"/>
          <w:b/>
          <w:bCs/>
          <w:color w:val="000000" w:themeColor="text1"/>
          <w:sz w:val="24"/>
          <w:szCs w:val="44"/>
        </w:rPr>
        <w:t>8.3.1.2.1-1交通工</w:t>
      </w:r>
      <w:r>
        <w:rPr>
          <w:rFonts w:ascii="仿宋_GB2312" w:eastAsia="仿宋_GB2312" w:hAnsi="仿宋_GB2312" w:cs="仿宋_GB2312" w:hint="eastAsia"/>
          <w:b/>
          <w:bCs/>
          <w:color w:val="000000" w:themeColor="text1"/>
          <w:sz w:val="24"/>
          <w:szCs w:val="44"/>
        </w:rPr>
        <w:t>具标准（适用于科研项目经费支出）</w:t>
      </w:r>
      <w:bookmarkEnd w:id="2561"/>
      <w:bookmarkEnd w:id="2562"/>
      <w:bookmarkEnd w:id="2563"/>
      <w:bookmarkEnd w:id="2564"/>
      <w:bookmarkEnd w:id="2565"/>
      <w:bookmarkEnd w:id="2566"/>
      <w:bookmarkEnd w:id="2567"/>
      <w:bookmarkEnd w:id="2568"/>
      <w:bookmarkEnd w:id="2569"/>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409"/>
        <w:gridCol w:w="2115"/>
        <w:gridCol w:w="1185"/>
        <w:gridCol w:w="1022"/>
        <w:gridCol w:w="1225"/>
      </w:tblGrid>
      <w:tr w:rsidR="00E37845">
        <w:trPr>
          <w:trHeight w:val="1348"/>
          <w:jc w:val="center"/>
        </w:trPr>
        <w:tc>
          <w:tcPr>
            <w:tcW w:w="789"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b/>
                <w:bCs/>
                <w:color w:val="000000" w:themeColor="text1"/>
              </w:rPr>
            </w:pPr>
            <w:r>
              <w:rPr>
                <w:rFonts w:hint="eastAsia"/>
                <w:b/>
                <w:bCs/>
                <w:color w:val="000000" w:themeColor="text1"/>
              </w:rPr>
              <w:t>标准</w:t>
            </w:r>
          </w:p>
        </w:tc>
        <w:tc>
          <w:tcPr>
            <w:tcW w:w="2409" w:type="dxa"/>
            <w:tcBorders>
              <w:top w:val="single" w:sz="4" w:space="0" w:color="auto"/>
              <w:left w:val="nil"/>
              <w:bottom w:val="single" w:sz="4" w:space="0" w:color="auto"/>
              <w:right w:val="single" w:sz="4" w:space="0" w:color="auto"/>
            </w:tcBorders>
            <w:vAlign w:val="center"/>
          </w:tcPr>
          <w:p w:rsidR="00E37845" w:rsidRDefault="00E22BDD">
            <w:pPr>
              <w:jc w:val="center"/>
              <w:rPr>
                <w:b/>
                <w:bCs/>
                <w:color w:val="000000" w:themeColor="text1"/>
              </w:rPr>
            </w:pPr>
            <w:r>
              <w:rPr>
                <w:rFonts w:hint="eastAsia"/>
                <w:b/>
                <w:bCs/>
                <w:color w:val="000000" w:themeColor="text1"/>
              </w:rPr>
              <w:t>对应人员</w:t>
            </w:r>
          </w:p>
        </w:tc>
        <w:tc>
          <w:tcPr>
            <w:tcW w:w="2115" w:type="dxa"/>
            <w:tcBorders>
              <w:top w:val="single" w:sz="4" w:space="0" w:color="auto"/>
              <w:left w:val="nil"/>
              <w:bottom w:val="single" w:sz="4" w:space="0" w:color="auto"/>
              <w:right w:val="single" w:sz="4" w:space="0" w:color="auto"/>
            </w:tcBorders>
            <w:vAlign w:val="center"/>
          </w:tcPr>
          <w:p w:rsidR="00E37845" w:rsidRDefault="00E22BDD">
            <w:pPr>
              <w:jc w:val="center"/>
              <w:rPr>
                <w:b/>
                <w:bCs/>
                <w:color w:val="000000" w:themeColor="text1"/>
              </w:rPr>
            </w:pPr>
            <w:r>
              <w:rPr>
                <w:rFonts w:hint="eastAsia"/>
                <w:b/>
                <w:bCs/>
                <w:color w:val="000000" w:themeColor="text1"/>
              </w:rPr>
              <w:t>火车（含高铁、动车、全列软席列车）</w:t>
            </w:r>
          </w:p>
        </w:tc>
        <w:tc>
          <w:tcPr>
            <w:tcW w:w="1185" w:type="dxa"/>
            <w:tcBorders>
              <w:top w:val="single" w:sz="4" w:space="0" w:color="auto"/>
              <w:left w:val="nil"/>
              <w:bottom w:val="single" w:sz="4" w:space="0" w:color="auto"/>
              <w:right w:val="single" w:sz="4" w:space="0" w:color="auto"/>
            </w:tcBorders>
            <w:vAlign w:val="center"/>
          </w:tcPr>
          <w:p w:rsidR="00E37845" w:rsidRDefault="00E22BDD">
            <w:pPr>
              <w:jc w:val="center"/>
              <w:rPr>
                <w:b/>
                <w:bCs/>
                <w:color w:val="000000" w:themeColor="text1"/>
              </w:rPr>
            </w:pPr>
            <w:r>
              <w:rPr>
                <w:rFonts w:hint="eastAsia"/>
                <w:b/>
                <w:bCs/>
                <w:color w:val="000000" w:themeColor="text1"/>
              </w:rPr>
              <w:t>轮船</w:t>
            </w:r>
          </w:p>
          <w:p w:rsidR="00E37845" w:rsidRDefault="00E22BDD">
            <w:pPr>
              <w:jc w:val="center"/>
              <w:rPr>
                <w:b/>
                <w:bCs/>
                <w:color w:val="000000" w:themeColor="text1"/>
              </w:rPr>
            </w:pPr>
            <w:r>
              <w:rPr>
                <w:rFonts w:hint="eastAsia"/>
                <w:b/>
                <w:bCs/>
                <w:color w:val="000000" w:themeColor="text1"/>
              </w:rPr>
              <w:t>（不包括</w:t>
            </w:r>
          </w:p>
          <w:p w:rsidR="00E37845" w:rsidRDefault="00E22BDD">
            <w:pPr>
              <w:jc w:val="center"/>
              <w:rPr>
                <w:b/>
                <w:bCs/>
                <w:color w:val="000000" w:themeColor="text1"/>
              </w:rPr>
            </w:pPr>
            <w:r>
              <w:rPr>
                <w:rFonts w:hint="eastAsia"/>
                <w:b/>
                <w:bCs/>
                <w:color w:val="000000" w:themeColor="text1"/>
              </w:rPr>
              <w:t>旅游船）</w:t>
            </w:r>
          </w:p>
        </w:tc>
        <w:tc>
          <w:tcPr>
            <w:tcW w:w="1022" w:type="dxa"/>
            <w:tcBorders>
              <w:top w:val="single" w:sz="4" w:space="0" w:color="auto"/>
              <w:left w:val="nil"/>
              <w:bottom w:val="single" w:sz="4" w:space="0" w:color="auto"/>
              <w:right w:val="single" w:sz="4" w:space="0" w:color="auto"/>
            </w:tcBorders>
            <w:vAlign w:val="center"/>
          </w:tcPr>
          <w:p w:rsidR="00E37845" w:rsidRDefault="00E22BDD">
            <w:pPr>
              <w:jc w:val="center"/>
              <w:rPr>
                <w:b/>
                <w:bCs/>
                <w:color w:val="000000" w:themeColor="text1"/>
              </w:rPr>
            </w:pPr>
            <w:r>
              <w:rPr>
                <w:rFonts w:hint="eastAsia"/>
                <w:b/>
                <w:bCs/>
                <w:color w:val="000000" w:themeColor="text1"/>
              </w:rPr>
              <w:t>飞机</w:t>
            </w:r>
          </w:p>
        </w:tc>
        <w:tc>
          <w:tcPr>
            <w:tcW w:w="1225" w:type="dxa"/>
            <w:tcBorders>
              <w:top w:val="single" w:sz="4" w:space="0" w:color="auto"/>
              <w:left w:val="nil"/>
              <w:bottom w:val="single" w:sz="4" w:space="0" w:color="auto"/>
              <w:right w:val="single" w:sz="4" w:space="0" w:color="auto"/>
            </w:tcBorders>
            <w:vAlign w:val="center"/>
          </w:tcPr>
          <w:p w:rsidR="00E37845" w:rsidRDefault="00E22BDD">
            <w:pPr>
              <w:jc w:val="center"/>
              <w:rPr>
                <w:b/>
                <w:bCs/>
                <w:color w:val="000000" w:themeColor="text1"/>
              </w:rPr>
            </w:pPr>
            <w:r>
              <w:rPr>
                <w:rFonts w:hint="eastAsia"/>
                <w:b/>
                <w:bCs/>
                <w:color w:val="000000" w:themeColor="text1"/>
              </w:rPr>
              <w:t>其他交通工具</w:t>
            </w:r>
          </w:p>
          <w:p w:rsidR="00E37845" w:rsidRDefault="00E22BDD">
            <w:pPr>
              <w:jc w:val="center"/>
              <w:rPr>
                <w:b/>
                <w:bCs/>
                <w:color w:val="000000" w:themeColor="text1"/>
              </w:rPr>
            </w:pPr>
            <w:r>
              <w:rPr>
                <w:rFonts w:hint="eastAsia"/>
                <w:b/>
                <w:bCs/>
                <w:color w:val="000000" w:themeColor="text1"/>
              </w:rPr>
              <w:t>(</w:t>
            </w:r>
            <w:r>
              <w:rPr>
                <w:rFonts w:hint="eastAsia"/>
                <w:b/>
                <w:bCs/>
                <w:color w:val="000000" w:themeColor="text1"/>
              </w:rPr>
              <w:t>不包括出租小汽车</w:t>
            </w:r>
            <w:r>
              <w:rPr>
                <w:rFonts w:hint="eastAsia"/>
                <w:b/>
                <w:bCs/>
                <w:color w:val="000000" w:themeColor="text1"/>
              </w:rPr>
              <w:t>)</w:t>
            </w:r>
          </w:p>
        </w:tc>
      </w:tr>
      <w:tr w:rsidR="00E37845">
        <w:trPr>
          <w:trHeight w:val="1032"/>
          <w:jc w:val="center"/>
        </w:trPr>
        <w:tc>
          <w:tcPr>
            <w:tcW w:w="789" w:type="dxa"/>
            <w:vMerge w:val="restart"/>
            <w:tcBorders>
              <w:top w:val="nil"/>
              <w:left w:val="single" w:sz="4" w:space="0" w:color="auto"/>
              <w:bottom w:val="single" w:sz="4" w:space="0" w:color="auto"/>
              <w:right w:val="single" w:sz="4" w:space="0" w:color="auto"/>
            </w:tcBorders>
            <w:vAlign w:val="center"/>
          </w:tcPr>
          <w:p w:rsidR="00E37845" w:rsidRDefault="00E22BDD">
            <w:pPr>
              <w:jc w:val="center"/>
              <w:rPr>
                <w:color w:val="000000" w:themeColor="text1"/>
              </w:rPr>
            </w:pPr>
            <w:r>
              <w:rPr>
                <w:rFonts w:hint="eastAsia"/>
                <w:color w:val="000000" w:themeColor="text1"/>
              </w:rPr>
              <w:t>一类</w:t>
            </w:r>
          </w:p>
        </w:tc>
        <w:tc>
          <w:tcPr>
            <w:tcW w:w="2409" w:type="dxa"/>
            <w:tcBorders>
              <w:top w:val="single" w:sz="4" w:space="0" w:color="auto"/>
              <w:left w:val="nil"/>
              <w:bottom w:val="single" w:sz="4" w:space="0" w:color="auto"/>
              <w:right w:val="single" w:sz="4" w:space="0" w:color="auto"/>
            </w:tcBorders>
            <w:vAlign w:val="center"/>
          </w:tcPr>
          <w:p w:rsidR="00E37845" w:rsidRDefault="00E22BDD">
            <w:pPr>
              <w:jc w:val="center"/>
              <w:rPr>
                <w:color w:val="000000" w:themeColor="text1"/>
              </w:rPr>
            </w:pPr>
            <w:r>
              <w:rPr>
                <w:rFonts w:hint="eastAsia"/>
                <w:color w:val="000000" w:themeColor="text1"/>
              </w:rPr>
              <w:t>省部级、院士及相当于院士人员、一级教授</w:t>
            </w:r>
          </w:p>
        </w:tc>
        <w:tc>
          <w:tcPr>
            <w:tcW w:w="2115" w:type="dxa"/>
            <w:vMerge w:val="restart"/>
            <w:tcBorders>
              <w:top w:val="nil"/>
              <w:left w:val="nil"/>
              <w:bottom w:val="single" w:sz="4" w:space="0" w:color="auto"/>
              <w:right w:val="single" w:sz="4" w:space="0" w:color="auto"/>
            </w:tcBorders>
            <w:vAlign w:val="center"/>
          </w:tcPr>
          <w:p w:rsidR="00E37845" w:rsidRDefault="00E22BDD">
            <w:pPr>
              <w:jc w:val="center"/>
              <w:rPr>
                <w:color w:val="000000" w:themeColor="text1"/>
              </w:rPr>
            </w:pPr>
            <w:r>
              <w:rPr>
                <w:rFonts w:hint="eastAsia"/>
                <w:color w:val="000000" w:themeColor="text1"/>
              </w:rPr>
              <w:t>软席（软座、软卧），高铁</w:t>
            </w:r>
            <w:r>
              <w:rPr>
                <w:rFonts w:hint="eastAsia"/>
                <w:color w:val="000000" w:themeColor="text1"/>
              </w:rPr>
              <w:t>/</w:t>
            </w:r>
            <w:r>
              <w:rPr>
                <w:rFonts w:hint="eastAsia"/>
                <w:color w:val="000000" w:themeColor="text1"/>
              </w:rPr>
              <w:t>动车商务座，全列软席列车一等软座</w:t>
            </w:r>
          </w:p>
        </w:tc>
        <w:tc>
          <w:tcPr>
            <w:tcW w:w="1185" w:type="dxa"/>
            <w:vMerge w:val="restart"/>
            <w:tcBorders>
              <w:top w:val="nil"/>
              <w:left w:val="nil"/>
              <w:bottom w:val="single" w:sz="4" w:space="0" w:color="auto"/>
              <w:right w:val="single" w:sz="4" w:space="0" w:color="auto"/>
            </w:tcBorders>
            <w:vAlign w:val="center"/>
          </w:tcPr>
          <w:p w:rsidR="00E37845" w:rsidRDefault="00E22BDD">
            <w:pPr>
              <w:jc w:val="center"/>
              <w:rPr>
                <w:color w:val="000000" w:themeColor="text1"/>
              </w:rPr>
            </w:pPr>
            <w:r>
              <w:rPr>
                <w:rFonts w:hint="eastAsia"/>
                <w:color w:val="000000" w:themeColor="text1"/>
              </w:rPr>
              <w:t>一等舱</w:t>
            </w:r>
          </w:p>
        </w:tc>
        <w:tc>
          <w:tcPr>
            <w:tcW w:w="1022" w:type="dxa"/>
            <w:tcBorders>
              <w:top w:val="single" w:sz="4" w:space="0" w:color="auto"/>
              <w:left w:val="nil"/>
              <w:bottom w:val="single" w:sz="4" w:space="0" w:color="auto"/>
              <w:right w:val="single" w:sz="4" w:space="0" w:color="auto"/>
            </w:tcBorders>
            <w:vAlign w:val="center"/>
          </w:tcPr>
          <w:p w:rsidR="00E37845" w:rsidRDefault="00E22BDD">
            <w:pPr>
              <w:jc w:val="center"/>
              <w:rPr>
                <w:color w:val="000000" w:themeColor="text1"/>
              </w:rPr>
            </w:pPr>
            <w:r>
              <w:rPr>
                <w:rFonts w:hint="eastAsia"/>
                <w:color w:val="000000" w:themeColor="text1"/>
              </w:rPr>
              <w:t>头等舱</w:t>
            </w:r>
          </w:p>
        </w:tc>
        <w:tc>
          <w:tcPr>
            <w:tcW w:w="1225" w:type="dxa"/>
            <w:vMerge w:val="restart"/>
            <w:tcBorders>
              <w:top w:val="nil"/>
              <w:left w:val="nil"/>
              <w:bottom w:val="single" w:sz="4" w:space="0" w:color="auto"/>
              <w:right w:val="single" w:sz="4" w:space="0" w:color="auto"/>
            </w:tcBorders>
            <w:vAlign w:val="center"/>
          </w:tcPr>
          <w:p w:rsidR="00E37845" w:rsidRDefault="00E22BDD">
            <w:pPr>
              <w:jc w:val="center"/>
              <w:rPr>
                <w:color w:val="000000" w:themeColor="text1"/>
              </w:rPr>
            </w:pPr>
            <w:r>
              <w:rPr>
                <w:rFonts w:hint="eastAsia"/>
                <w:color w:val="000000" w:themeColor="text1"/>
              </w:rPr>
              <w:t>凭据报销</w:t>
            </w:r>
          </w:p>
        </w:tc>
      </w:tr>
      <w:tr w:rsidR="00E37845">
        <w:trPr>
          <w:trHeight w:val="1445"/>
          <w:jc w:val="center"/>
        </w:trPr>
        <w:tc>
          <w:tcPr>
            <w:tcW w:w="789" w:type="dxa"/>
            <w:vMerge/>
            <w:tcBorders>
              <w:top w:val="nil"/>
              <w:left w:val="single" w:sz="4" w:space="0" w:color="auto"/>
              <w:bottom w:val="single" w:sz="4" w:space="0" w:color="auto"/>
              <w:right w:val="single" w:sz="4" w:space="0" w:color="auto"/>
            </w:tcBorders>
            <w:vAlign w:val="center"/>
          </w:tcPr>
          <w:p w:rsidR="00E37845" w:rsidRDefault="00E37845">
            <w:pPr>
              <w:spacing w:line="578" w:lineRule="auto"/>
              <w:jc w:val="center"/>
              <w:outlineLvl w:val="0"/>
              <w:rPr>
                <w:color w:val="000000" w:themeColor="text1"/>
              </w:rPr>
            </w:pPr>
          </w:p>
        </w:tc>
        <w:tc>
          <w:tcPr>
            <w:tcW w:w="2409" w:type="dxa"/>
            <w:tcBorders>
              <w:top w:val="single" w:sz="4" w:space="0" w:color="auto"/>
              <w:left w:val="nil"/>
              <w:bottom w:val="single" w:sz="4" w:space="0" w:color="auto"/>
              <w:right w:val="single" w:sz="4" w:space="0" w:color="auto"/>
            </w:tcBorders>
            <w:vAlign w:val="center"/>
          </w:tcPr>
          <w:p w:rsidR="00E37845" w:rsidRDefault="00E22BDD">
            <w:pPr>
              <w:jc w:val="center"/>
              <w:rPr>
                <w:color w:val="000000" w:themeColor="text1"/>
              </w:rPr>
            </w:pPr>
            <w:r>
              <w:rPr>
                <w:rFonts w:hint="eastAsia"/>
                <w:color w:val="000000" w:themeColor="text1"/>
              </w:rPr>
              <w:t>二级教授、千人计划入选者、长江学者、国家杰出青年、万人计划领军人才、南粤百杰</w:t>
            </w:r>
          </w:p>
        </w:tc>
        <w:tc>
          <w:tcPr>
            <w:tcW w:w="2115" w:type="dxa"/>
            <w:vMerge/>
            <w:tcBorders>
              <w:top w:val="nil"/>
              <w:left w:val="nil"/>
              <w:bottom w:val="single" w:sz="4" w:space="0" w:color="auto"/>
              <w:right w:val="single" w:sz="4" w:space="0" w:color="auto"/>
            </w:tcBorders>
            <w:vAlign w:val="center"/>
          </w:tcPr>
          <w:p w:rsidR="00E37845" w:rsidRDefault="00E37845">
            <w:pPr>
              <w:jc w:val="center"/>
              <w:rPr>
                <w:color w:val="000000" w:themeColor="text1"/>
              </w:rPr>
            </w:pPr>
          </w:p>
        </w:tc>
        <w:tc>
          <w:tcPr>
            <w:tcW w:w="1185" w:type="dxa"/>
            <w:vMerge/>
            <w:tcBorders>
              <w:top w:val="nil"/>
              <w:left w:val="nil"/>
              <w:bottom w:val="single" w:sz="4" w:space="0" w:color="auto"/>
              <w:right w:val="single" w:sz="4" w:space="0" w:color="auto"/>
            </w:tcBorders>
            <w:vAlign w:val="center"/>
          </w:tcPr>
          <w:p w:rsidR="00E37845" w:rsidRDefault="00E37845">
            <w:pPr>
              <w:jc w:val="center"/>
              <w:rPr>
                <w:color w:val="000000" w:themeColor="text1"/>
              </w:rPr>
            </w:pPr>
          </w:p>
        </w:tc>
        <w:tc>
          <w:tcPr>
            <w:tcW w:w="1022" w:type="dxa"/>
            <w:tcBorders>
              <w:top w:val="single" w:sz="4" w:space="0" w:color="auto"/>
              <w:left w:val="nil"/>
              <w:bottom w:val="single" w:sz="4" w:space="0" w:color="auto"/>
              <w:right w:val="single" w:sz="4" w:space="0" w:color="auto"/>
            </w:tcBorders>
            <w:vAlign w:val="center"/>
          </w:tcPr>
          <w:p w:rsidR="00E37845" w:rsidRDefault="00E22BDD">
            <w:pPr>
              <w:jc w:val="center"/>
              <w:rPr>
                <w:color w:val="000000" w:themeColor="text1"/>
              </w:rPr>
            </w:pPr>
            <w:r>
              <w:rPr>
                <w:rFonts w:hint="eastAsia"/>
                <w:color w:val="000000" w:themeColor="text1"/>
              </w:rPr>
              <w:t>公务舱</w:t>
            </w:r>
          </w:p>
        </w:tc>
        <w:tc>
          <w:tcPr>
            <w:tcW w:w="1225" w:type="dxa"/>
            <w:vMerge/>
            <w:tcBorders>
              <w:top w:val="nil"/>
              <w:left w:val="nil"/>
              <w:bottom w:val="single" w:sz="4" w:space="0" w:color="auto"/>
              <w:right w:val="single" w:sz="4" w:space="0" w:color="auto"/>
            </w:tcBorders>
            <w:vAlign w:val="center"/>
          </w:tcPr>
          <w:p w:rsidR="00E37845" w:rsidRDefault="00E37845">
            <w:pPr>
              <w:jc w:val="center"/>
              <w:rPr>
                <w:color w:val="000000" w:themeColor="text1"/>
              </w:rPr>
            </w:pPr>
          </w:p>
        </w:tc>
      </w:tr>
      <w:tr w:rsidR="00E37845">
        <w:trPr>
          <w:jc w:val="center"/>
        </w:trPr>
        <w:tc>
          <w:tcPr>
            <w:tcW w:w="789" w:type="dxa"/>
            <w:tcBorders>
              <w:top w:val="single" w:sz="4" w:space="0" w:color="auto"/>
              <w:left w:val="single" w:sz="4" w:space="0" w:color="auto"/>
              <w:bottom w:val="single" w:sz="4" w:space="0" w:color="auto"/>
              <w:right w:val="single" w:sz="4" w:space="0" w:color="auto"/>
            </w:tcBorders>
            <w:vAlign w:val="center"/>
          </w:tcPr>
          <w:p w:rsidR="00E37845" w:rsidRDefault="00E22BDD">
            <w:pPr>
              <w:jc w:val="center"/>
              <w:rPr>
                <w:color w:val="000000" w:themeColor="text1"/>
              </w:rPr>
            </w:pPr>
            <w:r>
              <w:rPr>
                <w:rFonts w:hint="eastAsia"/>
                <w:color w:val="000000" w:themeColor="text1"/>
              </w:rPr>
              <w:t>二类</w:t>
            </w:r>
          </w:p>
        </w:tc>
        <w:tc>
          <w:tcPr>
            <w:tcW w:w="2409" w:type="dxa"/>
            <w:tcBorders>
              <w:top w:val="single" w:sz="4" w:space="0" w:color="auto"/>
              <w:left w:val="nil"/>
              <w:bottom w:val="single" w:sz="4" w:space="0" w:color="auto"/>
              <w:right w:val="single" w:sz="4" w:space="0" w:color="auto"/>
            </w:tcBorders>
            <w:vAlign w:val="center"/>
          </w:tcPr>
          <w:p w:rsidR="00E37845" w:rsidRDefault="00E22BDD">
            <w:pPr>
              <w:jc w:val="center"/>
              <w:rPr>
                <w:color w:val="000000" w:themeColor="text1"/>
              </w:rPr>
            </w:pPr>
            <w:r>
              <w:rPr>
                <w:rFonts w:hint="eastAsia"/>
                <w:color w:val="000000" w:themeColor="text1"/>
              </w:rPr>
              <w:t>厅局级、正高级职称人员及副高五级以上职称人员（含五级）</w:t>
            </w:r>
          </w:p>
        </w:tc>
        <w:tc>
          <w:tcPr>
            <w:tcW w:w="2115" w:type="dxa"/>
            <w:tcBorders>
              <w:top w:val="single" w:sz="4" w:space="0" w:color="auto"/>
              <w:left w:val="nil"/>
              <w:bottom w:val="single" w:sz="4" w:space="0" w:color="auto"/>
              <w:right w:val="single" w:sz="4" w:space="0" w:color="auto"/>
            </w:tcBorders>
            <w:vAlign w:val="center"/>
          </w:tcPr>
          <w:p w:rsidR="00E37845" w:rsidRDefault="00E22BDD">
            <w:pPr>
              <w:jc w:val="center"/>
              <w:rPr>
                <w:color w:val="000000" w:themeColor="text1"/>
              </w:rPr>
            </w:pPr>
            <w:r>
              <w:rPr>
                <w:rFonts w:hint="eastAsia"/>
                <w:color w:val="000000" w:themeColor="text1"/>
              </w:rPr>
              <w:t>软席（软座、软卧），高铁</w:t>
            </w:r>
            <w:r>
              <w:rPr>
                <w:rFonts w:hint="eastAsia"/>
                <w:color w:val="000000" w:themeColor="text1"/>
              </w:rPr>
              <w:t>/</w:t>
            </w:r>
            <w:r>
              <w:rPr>
                <w:rFonts w:hint="eastAsia"/>
                <w:color w:val="000000" w:themeColor="text1"/>
              </w:rPr>
              <w:t>动车一等座，全列软席列车一等软座</w:t>
            </w:r>
          </w:p>
        </w:tc>
        <w:tc>
          <w:tcPr>
            <w:tcW w:w="1185" w:type="dxa"/>
            <w:tcBorders>
              <w:top w:val="single" w:sz="4" w:space="0" w:color="auto"/>
              <w:left w:val="nil"/>
              <w:bottom w:val="single" w:sz="4" w:space="0" w:color="auto"/>
              <w:right w:val="single" w:sz="4" w:space="0" w:color="auto"/>
            </w:tcBorders>
            <w:vAlign w:val="center"/>
          </w:tcPr>
          <w:p w:rsidR="00E37845" w:rsidRDefault="00E22BDD">
            <w:pPr>
              <w:jc w:val="center"/>
              <w:rPr>
                <w:color w:val="000000" w:themeColor="text1"/>
              </w:rPr>
            </w:pPr>
            <w:r>
              <w:rPr>
                <w:rFonts w:hint="eastAsia"/>
                <w:color w:val="000000" w:themeColor="text1"/>
              </w:rPr>
              <w:t>二等舱</w:t>
            </w:r>
          </w:p>
        </w:tc>
        <w:tc>
          <w:tcPr>
            <w:tcW w:w="1022" w:type="dxa"/>
            <w:tcBorders>
              <w:top w:val="single" w:sz="4" w:space="0" w:color="auto"/>
              <w:left w:val="nil"/>
              <w:bottom w:val="single" w:sz="4" w:space="0" w:color="auto"/>
              <w:right w:val="single" w:sz="4" w:space="0" w:color="auto"/>
            </w:tcBorders>
            <w:vAlign w:val="center"/>
          </w:tcPr>
          <w:p w:rsidR="00E37845" w:rsidRDefault="00E22BDD">
            <w:pPr>
              <w:jc w:val="center"/>
              <w:rPr>
                <w:color w:val="000000" w:themeColor="text1"/>
              </w:rPr>
            </w:pPr>
            <w:r>
              <w:rPr>
                <w:rFonts w:hint="eastAsia"/>
                <w:color w:val="000000" w:themeColor="text1"/>
              </w:rPr>
              <w:t>经济舱</w:t>
            </w:r>
          </w:p>
        </w:tc>
        <w:tc>
          <w:tcPr>
            <w:tcW w:w="1225" w:type="dxa"/>
            <w:tcBorders>
              <w:top w:val="single" w:sz="4" w:space="0" w:color="auto"/>
              <w:left w:val="nil"/>
              <w:bottom w:val="single" w:sz="4" w:space="0" w:color="auto"/>
              <w:right w:val="single" w:sz="4" w:space="0" w:color="auto"/>
            </w:tcBorders>
            <w:vAlign w:val="center"/>
          </w:tcPr>
          <w:p w:rsidR="00E37845" w:rsidRDefault="00E22BDD">
            <w:pPr>
              <w:jc w:val="center"/>
              <w:rPr>
                <w:color w:val="000000" w:themeColor="text1"/>
              </w:rPr>
            </w:pPr>
            <w:r>
              <w:rPr>
                <w:rFonts w:hint="eastAsia"/>
                <w:color w:val="000000" w:themeColor="text1"/>
              </w:rPr>
              <w:t>凭据报销</w:t>
            </w:r>
          </w:p>
        </w:tc>
      </w:tr>
      <w:tr w:rsidR="00E37845">
        <w:trPr>
          <w:trHeight w:val="1009"/>
          <w:jc w:val="center"/>
        </w:trPr>
        <w:tc>
          <w:tcPr>
            <w:tcW w:w="789" w:type="dxa"/>
            <w:vMerge w:val="restart"/>
            <w:tcBorders>
              <w:top w:val="nil"/>
              <w:left w:val="single" w:sz="4" w:space="0" w:color="auto"/>
              <w:bottom w:val="single" w:sz="4" w:space="0" w:color="auto"/>
              <w:right w:val="single" w:sz="4" w:space="0" w:color="auto"/>
            </w:tcBorders>
            <w:vAlign w:val="center"/>
          </w:tcPr>
          <w:p w:rsidR="00E37845" w:rsidRDefault="00E22BDD">
            <w:pPr>
              <w:jc w:val="center"/>
              <w:rPr>
                <w:color w:val="000000" w:themeColor="text1"/>
              </w:rPr>
            </w:pPr>
            <w:r>
              <w:rPr>
                <w:rFonts w:hint="eastAsia"/>
                <w:color w:val="000000" w:themeColor="text1"/>
              </w:rPr>
              <w:t>三类</w:t>
            </w:r>
          </w:p>
        </w:tc>
        <w:tc>
          <w:tcPr>
            <w:tcW w:w="2409" w:type="dxa"/>
            <w:tcBorders>
              <w:top w:val="single" w:sz="4" w:space="0" w:color="auto"/>
              <w:left w:val="nil"/>
              <w:bottom w:val="single" w:sz="4" w:space="0" w:color="auto"/>
              <w:right w:val="single" w:sz="4" w:space="0" w:color="auto"/>
            </w:tcBorders>
            <w:vAlign w:val="center"/>
          </w:tcPr>
          <w:p w:rsidR="00E37845" w:rsidRDefault="00E22BDD">
            <w:pPr>
              <w:jc w:val="center"/>
              <w:rPr>
                <w:color w:val="000000" w:themeColor="text1"/>
              </w:rPr>
            </w:pPr>
            <w:r>
              <w:rPr>
                <w:rFonts w:hint="eastAsia"/>
                <w:color w:val="000000" w:themeColor="text1"/>
              </w:rPr>
              <w:t>处级、副处级、副高</w:t>
            </w:r>
          </w:p>
          <w:p w:rsidR="00E37845" w:rsidRDefault="00E22BDD">
            <w:pPr>
              <w:jc w:val="center"/>
              <w:rPr>
                <w:color w:val="000000" w:themeColor="text1"/>
              </w:rPr>
            </w:pPr>
            <w:r>
              <w:rPr>
                <w:rFonts w:hint="eastAsia"/>
                <w:color w:val="000000" w:themeColor="text1"/>
              </w:rPr>
              <w:t>七级以上职称人员</w:t>
            </w:r>
          </w:p>
          <w:p w:rsidR="00E37845" w:rsidRDefault="00E22BDD">
            <w:pPr>
              <w:jc w:val="center"/>
              <w:rPr>
                <w:color w:val="000000" w:themeColor="text1"/>
              </w:rPr>
            </w:pPr>
            <w:r>
              <w:rPr>
                <w:rFonts w:hint="eastAsia"/>
                <w:color w:val="000000" w:themeColor="text1"/>
              </w:rPr>
              <w:t>（含七级）</w:t>
            </w:r>
          </w:p>
        </w:tc>
        <w:tc>
          <w:tcPr>
            <w:tcW w:w="2115" w:type="dxa"/>
            <w:vMerge w:val="restart"/>
            <w:tcBorders>
              <w:top w:val="nil"/>
              <w:left w:val="nil"/>
              <w:bottom w:val="single" w:sz="4" w:space="0" w:color="auto"/>
              <w:right w:val="single" w:sz="4" w:space="0" w:color="auto"/>
            </w:tcBorders>
            <w:vAlign w:val="center"/>
          </w:tcPr>
          <w:p w:rsidR="00E37845" w:rsidRDefault="00E22BDD">
            <w:pPr>
              <w:jc w:val="center"/>
              <w:rPr>
                <w:color w:val="000000" w:themeColor="text1"/>
              </w:rPr>
            </w:pPr>
            <w:r>
              <w:rPr>
                <w:rFonts w:hint="eastAsia"/>
                <w:color w:val="000000" w:themeColor="text1"/>
              </w:rPr>
              <w:t>硬席（硬座、硬卧），高铁</w:t>
            </w:r>
            <w:r>
              <w:rPr>
                <w:rFonts w:hint="eastAsia"/>
                <w:color w:val="000000" w:themeColor="text1"/>
              </w:rPr>
              <w:t>/</w:t>
            </w:r>
            <w:r>
              <w:rPr>
                <w:rFonts w:hint="eastAsia"/>
                <w:color w:val="000000" w:themeColor="text1"/>
              </w:rPr>
              <w:t>动车二等座、全列软席列车二等软座</w:t>
            </w:r>
          </w:p>
        </w:tc>
        <w:tc>
          <w:tcPr>
            <w:tcW w:w="1185" w:type="dxa"/>
            <w:vMerge w:val="restart"/>
            <w:tcBorders>
              <w:top w:val="nil"/>
              <w:left w:val="nil"/>
              <w:bottom w:val="single" w:sz="4" w:space="0" w:color="auto"/>
              <w:right w:val="single" w:sz="4" w:space="0" w:color="auto"/>
            </w:tcBorders>
            <w:vAlign w:val="center"/>
          </w:tcPr>
          <w:p w:rsidR="00E37845" w:rsidRDefault="00E22BDD">
            <w:pPr>
              <w:jc w:val="center"/>
              <w:rPr>
                <w:color w:val="000000" w:themeColor="text1"/>
              </w:rPr>
            </w:pPr>
            <w:r>
              <w:rPr>
                <w:rFonts w:hint="eastAsia"/>
                <w:color w:val="000000" w:themeColor="text1"/>
              </w:rPr>
              <w:t>三等舱</w:t>
            </w:r>
          </w:p>
        </w:tc>
        <w:tc>
          <w:tcPr>
            <w:tcW w:w="1022" w:type="dxa"/>
            <w:tcBorders>
              <w:top w:val="single" w:sz="4" w:space="0" w:color="auto"/>
              <w:left w:val="nil"/>
              <w:bottom w:val="single" w:sz="4" w:space="0" w:color="auto"/>
              <w:right w:val="single" w:sz="4" w:space="0" w:color="auto"/>
            </w:tcBorders>
            <w:vAlign w:val="center"/>
          </w:tcPr>
          <w:p w:rsidR="00E37845" w:rsidRDefault="00E22BDD">
            <w:pPr>
              <w:jc w:val="center"/>
              <w:rPr>
                <w:color w:val="000000" w:themeColor="text1"/>
              </w:rPr>
            </w:pPr>
            <w:r>
              <w:rPr>
                <w:rFonts w:hint="eastAsia"/>
                <w:color w:val="000000" w:themeColor="text1"/>
              </w:rPr>
              <w:t>经济舱</w:t>
            </w:r>
          </w:p>
        </w:tc>
        <w:tc>
          <w:tcPr>
            <w:tcW w:w="1225" w:type="dxa"/>
            <w:vMerge w:val="restart"/>
            <w:tcBorders>
              <w:top w:val="nil"/>
              <w:left w:val="nil"/>
              <w:bottom w:val="single" w:sz="4" w:space="0" w:color="auto"/>
              <w:right w:val="single" w:sz="4" w:space="0" w:color="auto"/>
            </w:tcBorders>
            <w:vAlign w:val="center"/>
          </w:tcPr>
          <w:p w:rsidR="00E37845" w:rsidRDefault="00E22BDD">
            <w:pPr>
              <w:jc w:val="center"/>
              <w:rPr>
                <w:color w:val="000000" w:themeColor="text1"/>
              </w:rPr>
            </w:pPr>
            <w:r>
              <w:rPr>
                <w:rFonts w:hint="eastAsia"/>
                <w:color w:val="000000" w:themeColor="text1"/>
              </w:rPr>
              <w:t>凭据报销</w:t>
            </w:r>
          </w:p>
        </w:tc>
      </w:tr>
      <w:tr w:rsidR="00E37845">
        <w:trPr>
          <w:trHeight w:val="645"/>
          <w:jc w:val="center"/>
        </w:trPr>
        <w:tc>
          <w:tcPr>
            <w:tcW w:w="789" w:type="dxa"/>
            <w:vMerge/>
            <w:tcBorders>
              <w:top w:val="nil"/>
              <w:left w:val="single" w:sz="4" w:space="0" w:color="auto"/>
              <w:bottom w:val="single" w:sz="4" w:space="0" w:color="auto"/>
              <w:right w:val="single" w:sz="4" w:space="0" w:color="auto"/>
            </w:tcBorders>
            <w:vAlign w:val="center"/>
          </w:tcPr>
          <w:p w:rsidR="00E37845" w:rsidRDefault="00E37845">
            <w:pPr>
              <w:spacing w:line="578" w:lineRule="auto"/>
              <w:jc w:val="center"/>
              <w:outlineLvl w:val="0"/>
              <w:rPr>
                <w:color w:val="000000" w:themeColor="text1"/>
              </w:rPr>
            </w:pPr>
          </w:p>
        </w:tc>
        <w:tc>
          <w:tcPr>
            <w:tcW w:w="2409" w:type="dxa"/>
            <w:tcBorders>
              <w:top w:val="single" w:sz="4" w:space="0" w:color="auto"/>
              <w:left w:val="nil"/>
              <w:bottom w:val="single" w:sz="4" w:space="0" w:color="auto"/>
              <w:right w:val="single" w:sz="4" w:space="0" w:color="auto"/>
            </w:tcBorders>
            <w:vAlign w:val="center"/>
          </w:tcPr>
          <w:p w:rsidR="00E37845" w:rsidRDefault="00E22BDD">
            <w:pPr>
              <w:jc w:val="center"/>
              <w:rPr>
                <w:color w:val="000000" w:themeColor="text1"/>
              </w:rPr>
            </w:pPr>
            <w:r>
              <w:rPr>
                <w:rFonts w:hint="eastAsia"/>
                <w:color w:val="000000" w:themeColor="text1"/>
              </w:rPr>
              <w:t>其余人员</w:t>
            </w:r>
          </w:p>
        </w:tc>
        <w:tc>
          <w:tcPr>
            <w:tcW w:w="2115" w:type="dxa"/>
            <w:vMerge/>
            <w:tcBorders>
              <w:top w:val="nil"/>
              <w:left w:val="nil"/>
              <w:bottom w:val="single" w:sz="4" w:space="0" w:color="auto"/>
              <w:right w:val="single" w:sz="4" w:space="0" w:color="auto"/>
            </w:tcBorders>
            <w:vAlign w:val="center"/>
          </w:tcPr>
          <w:p w:rsidR="00E37845" w:rsidRDefault="00E37845">
            <w:pPr>
              <w:jc w:val="center"/>
              <w:rPr>
                <w:color w:val="000000" w:themeColor="text1"/>
              </w:rPr>
            </w:pPr>
          </w:p>
        </w:tc>
        <w:tc>
          <w:tcPr>
            <w:tcW w:w="1185" w:type="dxa"/>
            <w:vMerge/>
            <w:tcBorders>
              <w:top w:val="nil"/>
              <w:left w:val="nil"/>
              <w:bottom w:val="single" w:sz="4" w:space="0" w:color="auto"/>
              <w:right w:val="single" w:sz="4" w:space="0" w:color="auto"/>
            </w:tcBorders>
            <w:vAlign w:val="center"/>
          </w:tcPr>
          <w:p w:rsidR="00E37845" w:rsidRDefault="00E37845">
            <w:pPr>
              <w:jc w:val="center"/>
              <w:rPr>
                <w:color w:val="000000" w:themeColor="text1"/>
              </w:rPr>
            </w:pPr>
          </w:p>
        </w:tc>
        <w:tc>
          <w:tcPr>
            <w:tcW w:w="1022" w:type="dxa"/>
            <w:tcBorders>
              <w:top w:val="single" w:sz="4" w:space="0" w:color="auto"/>
              <w:left w:val="nil"/>
              <w:bottom w:val="single" w:sz="4" w:space="0" w:color="auto"/>
              <w:right w:val="single" w:sz="4" w:space="0" w:color="auto"/>
            </w:tcBorders>
            <w:vAlign w:val="center"/>
          </w:tcPr>
          <w:p w:rsidR="00E37845" w:rsidRDefault="00E22BDD">
            <w:pPr>
              <w:jc w:val="center"/>
              <w:rPr>
                <w:color w:val="000000" w:themeColor="text1"/>
              </w:rPr>
            </w:pPr>
            <w:r>
              <w:rPr>
                <w:rFonts w:hint="eastAsia"/>
                <w:color w:val="000000" w:themeColor="text1"/>
              </w:rPr>
              <w:t>经济舱</w:t>
            </w:r>
          </w:p>
          <w:p w:rsidR="00E37845" w:rsidRDefault="00E22BDD">
            <w:pPr>
              <w:jc w:val="center"/>
              <w:rPr>
                <w:color w:val="000000" w:themeColor="text1"/>
              </w:rPr>
            </w:pPr>
            <w:r>
              <w:rPr>
                <w:rFonts w:hint="eastAsia"/>
                <w:color w:val="000000" w:themeColor="text1"/>
              </w:rPr>
              <w:t>（经审批）</w:t>
            </w:r>
          </w:p>
        </w:tc>
        <w:tc>
          <w:tcPr>
            <w:tcW w:w="1225" w:type="dxa"/>
            <w:vMerge/>
            <w:tcBorders>
              <w:top w:val="nil"/>
              <w:left w:val="nil"/>
              <w:bottom w:val="single" w:sz="4" w:space="0" w:color="auto"/>
              <w:right w:val="single" w:sz="4" w:space="0" w:color="auto"/>
            </w:tcBorders>
            <w:vAlign w:val="center"/>
          </w:tcPr>
          <w:p w:rsidR="00E37845" w:rsidRDefault="00E37845">
            <w:pPr>
              <w:jc w:val="center"/>
              <w:rPr>
                <w:color w:val="000000" w:themeColor="text1"/>
              </w:rPr>
            </w:pPr>
          </w:p>
        </w:tc>
      </w:tr>
    </w:tbl>
    <w:p w:rsidR="00E37845" w:rsidRDefault="00E22BDD">
      <w:pPr>
        <w:spacing w:line="560" w:lineRule="exact"/>
        <w:ind w:firstLine="570"/>
        <w:rPr>
          <w:color w:val="000000" w:themeColor="text1"/>
        </w:rPr>
      </w:pPr>
      <w:bookmarkStart w:id="2570" w:name="_Toc25726"/>
      <w:bookmarkStart w:id="2571" w:name="_Toc15475"/>
      <w:r>
        <w:rPr>
          <w:color w:val="000000" w:themeColor="text1"/>
        </w:rPr>
        <w:br w:type="page"/>
      </w:r>
    </w:p>
    <w:p w:rsidR="00E37845" w:rsidRDefault="00E22BDD">
      <w:pPr>
        <w:spacing w:before="10" w:after="10" w:line="360" w:lineRule="auto"/>
        <w:ind w:firstLineChars="200" w:firstLine="482"/>
        <w:jc w:val="left"/>
        <w:rPr>
          <w:rFonts w:ascii="仿宋_GB2312" w:eastAsia="仿宋_GB2312" w:hAnsi="仿宋_GB2312" w:cs="仿宋_GB2312"/>
          <w:color w:val="000000" w:themeColor="text1"/>
          <w:sz w:val="24"/>
          <w:szCs w:val="44"/>
        </w:rPr>
      </w:pPr>
      <w:bookmarkStart w:id="2572" w:name="_Toc13846"/>
      <w:bookmarkStart w:id="2573" w:name="_Toc24298"/>
      <w:bookmarkStart w:id="2574" w:name="_Toc5722"/>
      <w:bookmarkStart w:id="2575" w:name="_Toc519781020"/>
      <w:bookmarkStart w:id="2576" w:name="_Toc4161"/>
      <w:bookmarkStart w:id="2577" w:name="_Toc19125"/>
      <w:bookmarkStart w:id="2578" w:name="_Toc15375"/>
      <w:r>
        <w:rPr>
          <w:rFonts w:ascii="仿宋_GB2312" w:eastAsia="仿宋_GB2312" w:hAnsi="仿宋_GB2312" w:cs="仿宋_GB2312"/>
          <w:b/>
          <w:bCs/>
          <w:color w:val="000000" w:themeColor="text1"/>
          <w:sz w:val="24"/>
          <w:szCs w:val="44"/>
        </w:rPr>
        <w:lastRenderedPageBreak/>
        <w:t>8.3.1.2.1-2交通工具标准（适用于行政性经费支出）</w:t>
      </w:r>
      <w:bookmarkEnd w:id="2570"/>
      <w:bookmarkEnd w:id="2571"/>
      <w:bookmarkEnd w:id="2572"/>
      <w:bookmarkEnd w:id="2573"/>
      <w:bookmarkEnd w:id="2574"/>
      <w:bookmarkEnd w:id="2575"/>
      <w:bookmarkEnd w:id="2576"/>
      <w:bookmarkEnd w:id="2577"/>
      <w:bookmarkEnd w:id="2578"/>
    </w:p>
    <w:tbl>
      <w:tblPr>
        <w:tblW w:w="8931" w:type="dxa"/>
        <w:tblInd w:w="108"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2280"/>
        <w:gridCol w:w="2550"/>
        <w:gridCol w:w="1407"/>
        <w:gridCol w:w="1134"/>
        <w:gridCol w:w="1560"/>
      </w:tblGrid>
      <w:tr w:rsidR="00E37845">
        <w:trPr>
          <w:trHeight w:val="1286"/>
        </w:trPr>
        <w:tc>
          <w:tcPr>
            <w:tcW w:w="22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E37845" w:rsidRDefault="00E22BDD">
            <w:pPr>
              <w:adjustRightInd w:val="0"/>
              <w:snapToGrid w:val="0"/>
              <w:spacing w:afterAutospacing="1"/>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交通工具</w:t>
            </w:r>
          </w:p>
          <w:p w:rsidR="00E37845" w:rsidRDefault="00E22BDD">
            <w:pPr>
              <w:adjustRightInd w:val="0"/>
              <w:snapToGrid w:val="0"/>
              <w:spacing w:afterAutospacing="1"/>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级别</w:t>
            </w:r>
          </w:p>
        </w:tc>
        <w:tc>
          <w:tcPr>
            <w:tcW w:w="25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37845" w:rsidRDefault="00E22BDD">
            <w:pPr>
              <w:adjustRightInd w:val="0"/>
              <w:snapToGrid w:val="0"/>
              <w:spacing w:after="100" w:afterAutospacing="1"/>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火车（含高铁、动车、全列软席列车）</w:t>
            </w:r>
          </w:p>
        </w:tc>
        <w:tc>
          <w:tcPr>
            <w:tcW w:w="14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37845" w:rsidRDefault="00E22BDD">
            <w:pPr>
              <w:adjustRightInd w:val="0"/>
              <w:snapToGrid w:val="0"/>
              <w:spacing w:after="100" w:afterAutospacing="1"/>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轮船（不包括旅游船）</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37845" w:rsidRDefault="00E22BDD">
            <w:pPr>
              <w:adjustRightInd w:val="0"/>
              <w:snapToGrid w:val="0"/>
              <w:spacing w:after="100" w:afterAutospacing="1"/>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飞机</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37845" w:rsidRDefault="00E22BDD">
            <w:pPr>
              <w:adjustRightInd w:val="0"/>
              <w:snapToGrid w:val="0"/>
              <w:spacing w:after="100" w:afterAutospacing="1"/>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其他交通工具</w:t>
            </w:r>
            <w:r>
              <w:rPr>
                <w:rFonts w:ascii="仿宋_GB2312" w:eastAsia="仿宋_GB2312" w:hAnsi="仿宋_GB2312" w:cs="仿宋_GB2312"/>
                <w:b/>
                <w:bCs/>
                <w:color w:val="000000" w:themeColor="text1"/>
                <w:sz w:val="24"/>
                <w:szCs w:val="24"/>
              </w:rPr>
              <w:t>(不包括出租</w:t>
            </w:r>
            <w:r>
              <w:rPr>
                <w:rFonts w:ascii="仿宋_GB2312" w:eastAsia="仿宋_GB2312" w:hAnsi="仿宋_GB2312" w:cs="仿宋_GB2312" w:hint="eastAsia"/>
                <w:b/>
                <w:bCs/>
                <w:color w:val="000000" w:themeColor="text1"/>
                <w:sz w:val="24"/>
                <w:szCs w:val="24"/>
              </w:rPr>
              <w:t>小汽车</w:t>
            </w:r>
            <w:r>
              <w:rPr>
                <w:rFonts w:ascii="仿宋_GB2312" w:eastAsia="仿宋_GB2312" w:hAnsi="仿宋_GB2312" w:cs="仿宋_GB2312"/>
                <w:b/>
                <w:bCs/>
                <w:color w:val="000000" w:themeColor="text1"/>
                <w:sz w:val="24"/>
                <w:szCs w:val="24"/>
              </w:rPr>
              <w:t>)</w:t>
            </w:r>
          </w:p>
        </w:tc>
      </w:tr>
      <w:tr w:rsidR="00E37845">
        <w:trPr>
          <w:trHeight w:val="1144"/>
        </w:trPr>
        <w:tc>
          <w:tcPr>
            <w:tcW w:w="22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7845" w:rsidRDefault="00E22BDD">
            <w:pPr>
              <w:adjustRightInd w:val="0"/>
              <w:snapToGrid w:val="0"/>
              <w:spacing w:afterAutospacing="1"/>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省级及相当职务人员、院士</w:t>
            </w:r>
          </w:p>
        </w:tc>
        <w:tc>
          <w:tcPr>
            <w:tcW w:w="2550" w:type="dxa"/>
            <w:tcBorders>
              <w:top w:val="nil"/>
              <w:left w:val="nil"/>
              <w:bottom w:val="single" w:sz="8" w:space="0" w:color="auto"/>
              <w:right w:val="single" w:sz="8" w:space="0" w:color="auto"/>
            </w:tcBorders>
            <w:tcMar>
              <w:top w:w="0" w:type="dxa"/>
              <w:left w:w="108" w:type="dxa"/>
              <w:bottom w:w="0" w:type="dxa"/>
              <w:right w:w="108" w:type="dxa"/>
            </w:tcMar>
            <w:vAlign w:val="center"/>
          </w:tcPr>
          <w:p w:rsidR="00E37845" w:rsidRDefault="00E22BDD">
            <w:pPr>
              <w:adjustRightInd w:val="0"/>
              <w:snapToGrid w:val="0"/>
              <w:spacing w:afterAutospacing="1"/>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软席（软座、软卧），高铁</w:t>
            </w:r>
            <w:r>
              <w:rPr>
                <w:rFonts w:ascii="仿宋_GB2312" w:eastAsia="仿宋_GB2312" w:hAnsi="仿宋_GB2312" w:cs="仿宋_GB2312"/>
                <w:color w:val="000000" w:themeColor="text1"/>
                <w:sz w:val="24"/>
                <w:szCs w:val="24"/>
              </w:rPr>
              <w:t>/动车商务座，全列软席列车一等软座</w:t>
            </w:r>
          </w:p>
        </w:tc>
        <w:tc>
          <w:tcPr>
            <w:tcW w:w="1407" w:type="dxa"/>
            <w:tcBorders>
              <w:top w:val="nil"/>
              <w:left w:val="nil"/>
              <w:bottom w:val="single" w:sz="8" w:space="0" w:color="auto"/>
              <w:right w:val="single" w:sz="8" w:space="0" w:color="auto"/>
            </w:tcBorders>
            <w:tcMar>
              <w:top w:w="0" w:type="dxa"/>
              <w:left w:w="108" w:type="dxa"/>
              <w:bottom w:w="0" w:type="dxa"/>
              <w:right w:w="108" w:type="dxa"/>
            </w:tcMar>
            <w:vAlign w:val="center"/>
          </w:tcPr>
          <w:p w:rsidR="00E37845" w:rsidRDefault="00E22BDD">
            <w:pPr>
              <w:adjustRightInd w:val="0"/>
              <w:snapToGrid w:val="0"/>
              <w:spacing w:afterAutospacing="1"/>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一等舱</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E37845" w:rsidRDefault="00E22BDD">
            <w:pPr>
              <w:adjustRightInd w:val="0"/>
              <w:snapToGrid w:val="0"/>
              <w:spacing w:afterAutospacing="1"/>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头等舱</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37845" w:rsidRDefault="00E22BDD">
            <w:pPr>
              <w:adjustRightInd w:val="0"/>
              <w:snapToGrid w:val="0"/>
              <w:spacing w:afterAutospacing="1"/>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凭据报销</w:t>
            </w:r>
          </w:p>
        </w:tc>
      </w:tr>
      <w:tr w:rsidR="00E37845">
        <w:trPr>
          <w:trHeight w:val="1107"/>
        </w:trPr>
        <w:tc>
          <w:tcPr>
            <w:tcW w:w="22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7845" w:rsidRDefault="00E22BDD">
            <w:pPr>
              <w:adjustRightInd w:val="0"/>
              <w:snapToGrid w:val="0"/>
              <w:spacing w:afterAutospacing="1"/>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厅级干部及相当职务人员、四级及以上专业技术人员</w:t>
            </w:r>
          </w:p>
        </w:tc>
        <w:tc>
          <w:tcPr>
            <w:tcW w:w="2550" w:type="dxa"/>
            <w:tcBorders>
              <w:top w:val="nil"/>
              <w:left w:val="nil"/>
              <w:bottom w:val="single" w:sz="8" w:space="0" w:color="auto"/>
              <w:right w:val="single" w:sz="8" w:space="0" w:color="auto"/>
            </w:tcBorders>
            <w:tcMar>
              <w:top w:w="0" w:type="dxa"/>
              <w:left w:w="108" w:type="dxa"/>
              <w:bottom w:w="0" w:type="dxa"/>
              <w:right w:w="108" w:type="dxa"/>
            </w:tcMar>
            <w:vAlign w:val="center"/>
          </w:tcPr>
          <w:p w:rsidR="00E37845" w:rsidRDefault="00E22BDD">
            <w:pPr>
              <w:adjustRightInd w:val="0"/>
              <w:snapToGrid w:val="0"/>
              <w:spacing w:afterAutospacing="1"/>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软席（软座、软卧），高铁</w:t>
            </w:r>
            <w:r>
              <w:rPr>
                <w:rFonts w:ascii="仿宋_GB2312" w:eastAsia="仿宋_GB2312" w:hAnsi="仿宋_GB2312" w:cs="仿宋_GB2312"/>
                <w:color w:val="000000" w:themeColor="text1"/>
                <w:sz w:val="24"/>
                <w:szCs w:val="24"/>
              </w:rPr>
              <w:t>/动车一等座，全列软席列车一等软座</w:t>
            </w:r>
          </w:p>
        </w:tc>
        <w:tc>
          <w:tcPr>
            <w:tcW w:w="1407" w:type="dxa"/>
            <w:tcBorders>
              <w:top w:val="nil"/>
              <w:left w:val="nil"/>
              <w:bottom w:val="single" w:sz="8" w:space="0" w:color="auto"/>
              <w:right w:val="single" w:sz="8" w:space="0" w:color="auto"/>
            </w:tcBorders>
            <w:tcMar>
              <w:top w:w="0" w:type="dxa"/>
              <w:left w:w="108" w:type="dxa"/>
              <w:bottom w:w="0" w:type="dxa"/>
              <w:right w:w="108" w:type="dxa"/>
            </w:tcMar>
            <w:vAlign w:val="center"/>
          </w:tcPr>
          <w:p w:rsidR="00E37845" w:rsidRDefault="00E22BDD">
            <w:pPr>
              <w:adjustRightInd w:val="0"/>
              <w:snapToGrid w:val="0"/>
              <w:spacing w:afterAutospacing="1"/>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二等舱</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E37845" w:rsidRDefault="00E22BDD">
            <w:pPr>
              <w:adjustRightInd w:val="0"/>
              <w:snapToGrid w:val="0"/>
              <w:spacing w:afterAutospacing="1"/>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经济舱</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37845" w:rsidRDefault="00E22BDD">
            <w:pPr>
              <w:adjustRightInd w:val="0"/>
              <w:snapToGrid w:val="0"/>
              <w:spacing w:afterAutospacing="1"/>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凭据报销</w:t>
            </w:r>
          </w:p>
        </w:tc>
      </w:tr>
      <w:tr w:rsidR="00E37845">
        <w:trPr>
          <w:trHeight w:val="1256"/>
        </w:trPr>
        <w:tc>
          <w:tcPr>
            <w:tcW w:w="22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E37845" w:rsidRDefault="00E22BDD">
            <w:pPr>
              <w:adjustRightInd w:val="0"/>
              <w:snapToGrid w:val="0"/>
              <w:spacing w:afterAutospacing="1"/>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处级、副处级干部，五至七级专业技术人员</w:t>
            </w:r>
          </w:p>
        </w:tc>
        <w:tc>
          <w:tcPr>
            <w:tcW w:w="25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37845" w:rsidRDefault="00E22BDD">
            <w:pPr>
              <w:adjustRightInd w:val="0"/>
              <w:snapToGrid w:val="0"/>
              <w:spacing w:afterAutospacing="1"/>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硬席（硬座、硬卧），高铁</w:t>
            </w:r>
            <w:r>
              <w:rPr>
                <w:rFonts w:ascii="仿宋_GB2312" w:eastAsia="仿宋_GB2312" w:hAnsi="仿宋_GB2312" w:cs="仿宋_GB2312"/>
                <w:color w:val="000000" w:themeColor="text1"/>
                <w:sz w:val="24"/>
                <w:szCs w:val="24"/>
              </w:rPr>
              <w:t>/动车二等座、全列软席列车二等软座</w:t>
            </w:r>
          </w:p>
        </w:tc>
        <w:tc>
          <w:tcPr>
            <w:tcW w:w="14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37845" w:rsidRDefault="00E22BDD">
            <w:pPr>
              <w:adjustRightInd w:val="0"/>
              <w:snapToGrid w:val="0"/>
              <w:spacing w:afterAutospacing="1"/>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三等舱</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37845" w:rsidRDefault="00E22BDD">
            <w:pPr>
              <w:adjustRightInd w:val="0"/>
              <w:snapToGrid w:val="0"/>
              <w:spacing w:afterAutospacing="1"/>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经济舱</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37845" w:rsidRDefault="00E22BDD">
            <w:pPr>
              <w:adjustRightInd w:val="0"/>
              <w:snapToGrid w:val="0"/>
              <w:spacing w:afterAutospacing="1"/>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凭据报销</w:t>
            </w:r>
          </w:p>
        </w:tc>
      </w:tr>
    </w:tbl>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备注：其他人员原则上不乘坐飞机，因特殊情况需经本单位领导批准后方可乘坐飞机。</w:t>
      </w:r>
    </w:p>
    <w:p w:rsidR="00E37845" w:rsidRDefault="00E22BDD">
      <w:pPr>
        <w:spacing w:before="10" w:after="10" w:line="360" w:lineRule="auto"/>
        <w:ind w:firstLineChars="200" w:firstLine="482"/>
        <w:jc w:val="left"/>
        <w:rPr>
          <w:rFonts w:ascii="仿宋_GB2312" w:eastAsia="仿宋_GB2312" w:hAnsi="仿宋_GB2312" w:cs="仿宋_GB2312"/>
          <w:b/>
          <w:bCs/>
          <w:color w:val="000000" w:themeColor="text1"/>
          <w:sz w:val="24"/>
          <w:szCs w:val="44"/>
        </w:rPr>
      </w:pPr>
      <w:bookmarkStart w:id="2579" w:name="_Toc17477"/>
      <w:bookmarkStart w:id="2580" w:name="_Toc31870"/>
      <w:bookmarkStart w:id="2581" w:name="_Toc18877"/>
      <w:bookmarkStart w:id="2582" w:name="_Toc7741"/>
      <w:bookmarkStart w:id="2583" w:name="_Toc11597"/>
      <w:bookmarkStart w:id="2584" w:name="_Toc19306"/>
      <w:bookmarkStart w:id="2585" w:name="_Toc31640"/>
      <w:bookmarkStart w:id="2586" w:name="_Toc8509"/>
      <w:bookmarkStart w:id="2587" w:name="_Toc519781021"/>
      <w:r>
        <w:rPr>
          <w:rFonts w:ascii="仿宋_GB2312" w:eastAsia="仿宋_GB2312" w:hAnsi="仿宋_GB2312" w:cs="仿宋_GB2312"/>
          <w:b/>
          <w:bCs/>
          <w:color w:val="000000" w:themeColor="text1"/>
          <w:sz w:val="24"/>
          <w:szCs w:val="44"/>
        </w:rPr>
        <w:t>8.3.1.2.2-1住宿费限额标准（适用于科研项目经费支出</w:t>
      </w:r>
      <w:r>
        <w:rPr>
          <w:rFonts w:ascii="仿宋_GB2312" w:eastAsia="仿宋_GB2312" w:hAnsi="仿宋_GB2312" w:cs="仿宋_GB2312" w:hint="eastAsia"/>
          <w:b/>
          <w:bCs/>
          <w:color w:val="000000" w:themeColor="text1"/>
          <w:sz w:val="24"/>
          <w:szCs w:val="44"/>
        </w:rPr>
        <w:t>）</w:t>
      </w:r>
    </w:p>
    <w:p w:rsidR="00E37845" w:rsidRDefault="00E22BDD">
      <w:pPr>
        <w:spacing w:before="10" w:after="10" w:line="360" w:lineRule="auto"/>
        <w:ind w:firstLineChars="3400" w:firstLine="7140"/>
        <w:jc w:val="left"/>
        <w:rPr>
          <w:rFonts w:ascii="仿宋_GB2312" w:eastAsia="仿宋_GB2312" w:hAnsi="仿宋_GB2312" w:cs="仿宋_GB2312"/>
          <w:color w:val="000000" w:themeColor="text1"/>
        </w:rPr>
      </w:pPr>
      <w:r>
        <w:rPr>
          <w:rFonts w:ascii="仿宋_GB2312" w:eastAsia="仿宋_GB2312" w:hAnsi="仿宋_GB2312" w:cs="仿宋_GB2312"/>
          <w:color w:val="000000" w:themeColor="text1"/>
        </w:rPr>
        <w:t>单位：元/人·天</w:t>
      </w:r>
      <w:bookmarkEnd w:id="2579"/>
      <w:bookmarkEnd w:id="2580"/>
      <w:bookmarkEnd w:id="2581"/>
      <w:bookmarkEnd w:id="2582"/>
      <w:bookmarkEnd w:id="2583"/>
      <w:bookmarkEnd w:id="2584"/>
      <w:bookmarkEnd w:id="2585"/>
      <w:bookmarkEnd w:id="2586"/>
      <w:bookmarkEnd w:id="2587"/>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
        <w:gridCol w:w="1335"/>
        <w:gridCol w:w="2475"/>
        <w:gridCol w:w="1545"/>
        <w:gridCol w:w="1710"/>
        <w:gridCol w:w="1110"/>
      </w:tblGrid>
      <w:tr w:rsidR="00E37845">
        <w:trPr>
          <w:trHeight w:val="526"/>
        </w:trPr>
        <w:tc>
          <w:tcPr>
            <w:tcW w:w="888" w:type="dxa"/>
            <w:vMerge w:val="restart"/>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afterAutospacing="1"/>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序号</w:t>
            </w:r>
          </w:p>
        </w:tc>
        <w:tc>
          <w:tcPr>
            <w:tcW w:w="1335" w:type="dxa"/>
            <w:vMerge w:val="restart"/>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afterAutospacing="1"/>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城市</w:t>
            </w:r>
          </w:p>
          <w:p w:rsidR="00E37845" w:rsidRDefault="00E22BDD">
            <w:pPr>
              <w:adjustRightInd w:val="0"/>
              <w:snapToGrid w:val="0"/>
              <w:spacing w:afterAutospacing="1"/>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（地区）</w:t>
            </w:r>
          </w:p>
        </w:tc>
        <w:tc>
          <w:tcPr>
            <w:tcW w:w="6840" w:type="dxa"/>
            <w:gridSpan w:val="4"/>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afterAutospacing="1"/>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b/>
                <w:bCs/>
                <w:color w:val="000000" w:themeColor="text1"/>
                <w:sz w:val="24"/>
                <w:szCs w:val="24"/>
              </w:rPr>
              <w:t>住宿费标准</w:t>
            </w:r>
          </w:p>
        </w:tc>
      </w:tr>
      <w:tr w:rsidR="00E37845">
        <w:tc>
          <w:tcPr>
            <w:tcW w:w="888" w:type="dxa"/>
            <w:vMerge/>
            <w:tcBorders>
              <w:top w:val="single" w:sz="4" w:space="0" w:color="auto"/>
              <w:left w:val="single" w:sz="4" w:space="0" w:color="auto"/>
              <w:bottom w:val="single" w:sz="4" w:space="0" w:color="auto"/>
              <w:right w:val="single" w:sz="4" w:space="0" w:color="auto"/>
            </w:tcBorders>
            <w:vAlign w:val="center"/>
          </w:tcPr>
          <w:p w:rsidR="00E37845" w:rsidRDefault="00E37845">
            <w:pPr>
              <w:adjustRightInd w:val="0"/>
              <w:snapToGrid w:val="0"/>
              <w:spacing w:after="100" w:afterAutospacing="1" w:line="578" w:lineRule="auto"/>
              <w:jc w:val="center"/>
              <w:outlineLvl w:val="0"/>
              <w:rPr>
                <w:rFonts w:ascii="仿宋_GB2312" w:eastAsia="仿宋_GB2312" w:hAnsi="仿宋_GB2312" w:cs="仿宋_GB2312"/>
                <w:color w:val="000000" w:themeColor="text1"/>
                <w:sz w:val="24"/>
                <w:szCs w:val="24"/>
              </w:rPr>
            </w:pPr>
          </w:p>
        </w:tc>
        <w:tc>
          <w:tcPr>
            <w:tcW w:w="1335" w:type="dxa"/>
            <w:vMerge/>
            <w:tcBorders>
              <w:top w:val="single" w:sz="4" w:space="0" w:color="auto"/>
              <w:left w:val="nil"/>
              <w:bottom w:val="single" w:sz="4" w:space="0" w:color="auto"/>
              <w:right w:val="single" w:sz="4" w:space="0" w:color="auto"/>
            </w:tcBorders>
            <w:vAlign w:val="center"/>
          </w:tcPr>
          <w:p w:rsidR="00E37845" w:rsidRDefault="00E37845">
            <w:pPr>
              <w:adjustRightInd w:val="0"/>
              <w:snapToGrid w:val="0"/>
              <w:spacing w:after="100" w:afterAutospacing="1" w:line="578" w:lineRule="auto"/>
              <w:jc w:val="center"/>
              <w:outlineLvl w:val="0"/>
              <w:rPr>
                <w:rFonts w:ascii="仿宋_GB2312" w:eastAsia="仿宋_GB2312" w:hAnsi="仿宋_GB2312" w:cs="仿宋_GB2312"/>
                <w:color w:val="000000" w:themeColor="text1"/>
                <w:sz w:val="24"/>
                <w:szCs w:val="24"/>
              </w:rPr>
            </w:pPr>
          </w:p>
        </w:tc>
        <w:tc>
          <w:tcPr>
            <w:tcW w:w="2475"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afterAutospacing="1"/>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省部级、院士及相当于院士人员、一级教授</w:t>
            </w:r>
            <w:r>
              <w:rPr>
                <w:rFonts w:ascii="仿宋_GB2312" w:eastAsia="仿宋_GB2312" w:hAnsi="仿宋_GB2312" w:cs="仿宋_GB2312"/>
                <w:color w:val="000000" w:themeColor="text1"/>
                <w:sz w:val="24"/>
                <w:szCs w:val="24"/>
              </w:rPr>
              <w:t xml:space="preserve">; </w:t>
            </w:r>
            <w:r>
              <w:rPr>
                <w:rFonts w:ascii="仿宋_GB2312" w:eastAsia="仿宋_GB2312" w:hAnsi="仿宋_GB2312" w:cs="仿宋_GB2312" w:hint="eastAsia"/>
                <w:color w:val="000000" w:themeColor="text1"/>
                <w:sz w:val="24"/>
                <w:szCs w:val="24"/>
              </w:rPr>
              <w:t>二级教授、千人计划入选者、长江学者、国家杰出青年、万人计划领军人才、南粤百杰</w:t>
            </w:r>
          </w:p>
        </w:tc>
        <w:tc>
          <w:tcPr>
            <w:tcW w:w="1545"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afterAutospacing="1"/>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厅局级、正高级职称人员及副高五级以上职称人员（含五级）</w:t>
            </w:r>
          </w:p>
        </w:tc>
        <w:tc>
          <w:tcPr>
            <w:tcW w:w="1710"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afterAutospacing="1"/>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正处级、副处级、副高七级以上职称人员（含七级）</w:t>
            </w:r>
          </w:p>
        </w:tc>
        <w:tc>
          <w:tcPr>
            <w:tcW w:w="1110"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afterAutospacing="1"/>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其余</w:t>
            </w:r>
          </w:p>
          <w:p w:rsidR="00E37845" w:rsidRDefault="00E22BDD">
            <w:pPr>
              <w:adjustRightInd w:val="0"/>
              <w:snapToGrid w:val="0"/>
              <w:spacing w:afterAutospacing="1"/>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人员</w:t>
            </w:r>
          </w:p>
        </w:tc>
      </w:tr>
      <w:tr w:rsidR="00E37845">
        <w:trPr>
          <w:trHeight w:val="902"/>
        </w:trPr>
        <w:tc>
          <w:tcPr>
            <w:tcW w:w="888"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afterAutospacing="1"/>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w:t>
            </w:r>
          </w:p>
        </w:tc>
        <w:tc>
          <w:tcPr>
            <w:tcW w:w="1335"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afterAutospacing="1"/>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北京、上海、三亚、深圳</w:t>
            </w:r>
          </w:p>
        </w:tc>
        <w:tc>
          <w:tcPr>
            <w:tcW w:w="2475"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afterAutospacing="1"/>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1100</w:t>
            </w:r>
          </w:p>
        </w:tc>
        <w:tc>
          <w:tcPr>
            <w:tcW w:w="1545"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afterAutospacing="1"/>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750</w:t>
            </w:r>
          </w:p>
        </w:tc>
        <w:tc>
          <w:tcPr>
            <w:tcW w:w="1710"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afterAutospacing="1"/>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600</w:t>
            </w:r>
          </w:p>
        </w:tc>
        <w:tc>
          <w:tcPr>
            <w:tcW w:w="1110"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afterAutospacing="1"/>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500</w:t>
            </w:r>
          </w:p>
        </w:tc>
      </w:tr>
      <w:tr w:rsidR="00E37845">
        <w:trPr>
          <w:trHeight w:val="680"/>
        </w:trPr>
        <w:tc>
          <w:tcPr>
            <w:tcW w:w="888"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afterAutospacing="1"/>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w:t>
            </w:r>
          </w:p>
        </w:tc>
        <w:tc>
          <w:tcPr>
            <w:tcW w:w="1335"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afterAutospacing="1"/>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其他</w:t>
            </w:r>
          </w:p>
        </w:tc>
        <w:tc>
          <w:tcPr>
            <w:tcW w:w="2475"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afterAutospacing="1"/>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900</w:t>
            </w:r>
          </w:p>
        </w:tc>
        <w:tc>
          <w:tcPr>
            <w:tcW w:w="1545"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afterAutospacing="1"/>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600</w:t>
            </w:r>
          </w:p>
        </w:tc>
        <w:tc>
          <w:tcPr>
            <w:tcW w:w="1710"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afterAutospacing="1"/>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550</w:t>
            </w:r>
          </w:p>
        </w:tc>
        <w:tc>
          <w:tcPr>
            <w:tcW w:w="1110"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afterAutospacing="1"/>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450</w:t>
            </w:r>
          </w:p>
        </w:tc>
      </w:tr>
    </w:tbl>
    <w:p w:rsidR="00E37845" w:rsidRDefault="00E22BDD">
      <w:pPr>
        <w:spacing w:line="560" w:lineRule="exact"/>
        <w:ind w:firstLine="570"/>
        <w:rPr>
          <w:color w:val="000000" w:themeColor="text1"/>
        </w:rPr>
      </w:pPr>
      <w:bookmarkStart w:id="2588" w:name="_Toc14447"/>
      <w:bookmarkStart w:id="2589" w:name="_Toc21004"/>
      <w:r>
        <w:rPr>
          <w:color w:val="000000" w:themeColor="text1"/>
        </w:rPr>
        <w:br w:type="page"/>
      </w:r>
    </w:p>
    <w:p w:rsidR="00E37845" w:rsidRDefault="00E22BDD">
      <w:pPr>
        <w:spacing w:before="10" w:after="10" w:line="360" w:lineRule="auto"/>
        <w:ind w:firstLineChars="200" w:firstLine="482"/>
        <w:jc w:val="left"/>
        <w:rPr>
          <w:rFonts w:ascii="仿宋_GB2312" w:eastAsia="仿宋_GB2312" w:hAnsi="仿宋_GB2312" w:cs="仿宋_GB2312"/>
          <w:b/>
          <w:bCs/>
          <w:color w:val="000000" w:themeColor="text1"/>
          <w:sz w:val="24"/>
          <w:szCs w:val="44"/>
        </w:rPr>
      </w:pPr>
      <w:bookmarkStart w:id="2590" w:name="_Toc12126"/>
      <w:bookmarkStart w:id="2591" w:name="_Toc974"/>
      <w:bookmarkStart w:id="2592" w:name="_Toc11231"/>
      <w:bookmarkStart w:id="2593" w:name="_Toc30585"/>
      <w:bookmarkStart w:id="2594" w:name="_Toc28560"/>
      <w:bookmarkStart w:id="2595" w:name="_Toc9819"/>
      <w:bookmarkStart w:id="2596" w:name="_Toc519781022"/>
      <w:r>
        <w:rPr>
          <w:rFonts w:ascii="仿宋_GB2312" w:eastAsia="仿宋_GB2312" w:hAnsi="仿宋_GB2312" w:cs="仿宋_GB2312"/>
          <w:b/>
          <w:bCs/>
          <w:color w:val="000000" w:themeColor="text1"/>
          <w:sz w:val="24"/>
          <w:szCs w:val="44"/>
        </w:rPr>
        <w:lastRenderedPageBreak/>
        <w:t>8.3.1.2.2-2住宿费限额标准（适用于行政性经费支出</w:t>
      </w:r>
      <w:r>
        <w:rPr>
          <w:rFonts w:ascii="仿宋_GB2312" w:eastAsia="仿宋_GB2312" w:hAnsi="仿宋_GB2312" w:cs="仿宋_GB2312" w:hint="eastAsia"/>
          <w:b/>
          <w:bCs/>
          <w:color w:val="000000" w:themeColor="text1"/>
          <w:sz w:val="24"/>
          <w:szCs w:val="44"/>
        </w:rPr>
        <w:t>）</w:t>
      </w:r>
    </w:p>
    <w:p w:rsidR="00E37845" w:rsidRDefault="00E22BDD">
      <w:pPr>
        <w:spacing w:before="10" w:after="10" w:line="360" w:lineRule="auto"/>
        <w:ind w:firstLineChars="3200" w:firstLine="6720"/>
        <w:jc w:val="left"/>
        <w:rPr>
          <w:rFonts w:ascii="仿宋_GB2312" w:eastAsia="仿宋_GB2312" w:hAnsi="仿宋_GB2312" w:cs="仿宋_GB2312"/>
          <w:color w:val="000000" w:themeColor="text1"/>
        </w:rPr>
      </w:pPr>
      <w:r>
        <w:rPr>
          <w:rFonts w:ascii="仿宋_GB2312" w:eastAsia="仿宋_GB2312" w:hAnsi="仿宋_GB2312" w:cs="仿宋_GB2312"/>
          <w:color w:val="000000" w:themeColor="text1"/>
        </w:rPr>
        <w:t>单位：元/人·天</w:t>
      </w:r>
      <w:bookmarkEnd w:id="2588"/>
      <w:bookmarkEnd w:id="2589"/>
      <w:bookmarkEnd w:id="2590"/>
      <w:bookmarkEnd w:id="2591"/>
      <w:bookmarkEnd w:id="2592"/>
      <w:bookmarkEnd w:id="2593"/>
      <w:bookmarkEnd w:id="2594"/>
      <w:bookmarkEnd w:id="2595"/>
      <w:bookmarkEnd w:id="2596"/>
    </w:p>
    <w:tbl>
      <w:tblPr>
        <w:tblW w:w="8740" w:type="dxa"/>
        <w:tblInd w:w="93" w:type="dxa"/>
        <w:tblLayout w:type="fixed"/>
        <w:tblLook w:val="04A0" w:firstRow="1" w:lastRow="0" w:firstColumn="1" w:lastColumn="0" w:noHBand="0" w:noVBand="1"/>
      </w:tblPr>
      <w:tblGrid>
        <w:gridCol w:w="800"/>
        <w:gridCol w:w="1246"/>
        <w:gridCol w:w="1764"/>
        <w:gridCol w:w="1440"/>
        <w:gridCol w:w="1336"/>
        <w:gridCol w:w="2154"/>
      </w:tblGrid>
      <w:tr w:rsidR="00E37845">
        <w:trPr>
          <w:trHeight w:val="599"/>
        </w:trPr>
        <w:tc>
          <w:tcPr>
            <w:tcW w:w="80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37845" w:rsidRDefault="00E22BDD">
            <w:pPr>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序号</w:t>
            </w:r>
          </w:p>
        </w:tc>
        <w:tc>
          <w:tcPr>
            <w:tcW w:w="1246" w:type="dxa"/>
            <w:vMerge w:val="restart"/>
            <w:tcBorders>
              <w:top w:val="single" w:sz="4" w:space="0" w:color="auto"/>
              <w:left w:val="nil"/>
              <w:bottom w:val="single" w:sz="4" w:space="0" w:color="000000"/>
              <w:right w:val="nil"/>
            </w:tcBorders>
            <w:shd w:val="clear" w:color="auto" w:fill="FFFFFF"/>
            <w:vAlign w:val="center"/>
          </w:tcPr>
          <w:p w:rsidR="00E37845" w:rsidRDefault="00E22BDD">
            <w:pPr>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地区</w:t>
            </w:r>
            <w:r>
              <w:rPr>
                <w:rFonts w:ascii="仿宋_GB2312" w:eastAsia="仿宋_GB2312" w:hAnsi="仿宋_GB2312" w:cs="仿宋_GB2312"/>
                <w:b/>
                <w:bCs/>
                <w:color w:val="000000" w:themeColor="text1"/>
                <w:sz w:val="24"/>
                <w:szCs w:val="24"/>
              </w:rPr>
              <w:br/>
            </w:r>
            <w:r>
              <w:rPr>
                <w:rFonts w:ascii="仿宋_GB2312" w:eastAsia="仿宋_GB2312" w:hAnsi="仿宋_GB2312" w:cs="仿宋_GB2312" w:hint="eastAsia"/>
                <w:b/>
                <w:bCs/>
                <w:color w:val="000000" w:themeColor="text1"/>
                <w:sz w:val="24"/>
                <w:szCs w:val="24"/>
              </w:rPr>
              <w:t>（城市）</w:t>
            </w:r>
          </w:p>
        </w:tc>
        <w:tc>
          <w:tcPr>
            <w:tcW w:w="454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37845" w:rsidRDefault="00E22BDD">
            <w:pPr>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住宿费标准</w:t>
            </w:r>
          </w:p>
        </w:tc>
        <w:tc>
          <w:tcPr>
            <w:tcW w:w="2154" w:type="dxa"/>
            <w:vMerge w:val="restart"/>
            <w:tcBorders>
              <w:top w:val="single" w:sz="4" w:space="0" w:color="auto"/>
              <w:left w:val="nil"/>
              <w:bottom w:val="single" w:sz="4" w:space="0" w:color="auto"/>
              <w:right w:val="single" w:sz="4" w:space="0" w:color="auto"/>
            </w:tcBorders>
            <w:shd w:val="clear" w:color="auto" w:fill="FFFFFF"/>
            <w:vAlign w:val="center"/>
          </w:tcPr>
          <w:p w:rsidR="00E37845" w:rsidRDefault="00E22BDD">
            <w:pPr>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备注</w:t>
            </w:r>
          </w:p>
        </w:tc>
      </w:tr>
      <w:tr w:rsidR="00E37845">
        <w:trPr>
          <w:trHeight w:val="1261"/>
        </w:trPr>
        <w:tc>
          <w:tcPr>
            <w:tcW w:w="800" w:type="dxa"/>
            <w:vMerge/>
            <w:tcBorders>
              <w:top w:val="single" w:sz="4" w:space="0" w:color="auto"/>
              <w:left w:val="single" w:sz="4" w:space="0" w:color="auto"/>
              <w:bottom w:val="single" w:sz="4" w:space="0" w:color="auto"/>
              <w:right w:val="single" w:sz="4" w:space="0" w:color="auto"/>
            </w:tcBorders>
            <w:vAlign w:val="center"/>
          </w:tcPr>
          <w:p w:rsidR="00E37845" w:rsidRDefault="00E37845">
            <w:pPr>
              <w:spacing w:line="578" w:lineRule="auto"/>
              <w:jc w:val="center"/>
              <w:outlineLvl w:val="0"/>
              <w:rPr>
                <w:rFonts w:ascii="仿宋_GB2312" w:eastAsia="仿宋_GB2312" w:hAnsi="仿宋_GB2312" w:cs="仿宋_GB2312"/>
                <w:color w:val="000000" w:themeColor="text1"/>
                <w:sz w:val="24"/>
                <w:szCs w:val="24"/>
              </w:rPr>
            </w:pPr>
          </w:p>
        </w:tc>
        <w:tc>
          <w:tcPr>
            <w:tcW w:w="1246" w:type="dxa"/>
            <w:vMerge/>
            <w:tcBorders>
              <w:top w:val="single" w:sz="4" w:space="0" w:color="auto"/>
              <w:left w:val="nil"/>
              <w:bottom w:val="single" w:sz="4" w:space="0" w:color="000000"/>
              <w:right w:val="nil"/>
            </w:tcBorders>
            <w:vAlign w:val="center"/>
          </w:tcPr>
          <w:p w:rsidR="00E37845" w:rsidRDefault="00E37845">
            <w:pPr>
              <w:spacing w:line="578" w:lineRule="auto"/>
              <w:jc w:val="center"/>
              <w:outlineLvl w:val="0"/>
              <w:rPr>
                <w:rFonts w:ascii="仿宋_GB2312" w:eastAsia="仿宋_GB2312" w:hAnsi="仿宋_GB2312" w:cs="仿宋_GB2312"/>
                <w:color w:val="000000" w:themeColor="text1"/>
                <w:sz w:val="24"/>
                <w:szCs w:val="24"/>
              </w:rPr>
            </w:pPr>
          </w:p>
        </w:tc>
        <w:tc>
          <w:tcPr>
            <w:tcW w:w="1764" w:type="dxa"/>
            <w:tcBorders>
              <w:top w:val="nil"/>
              <w:left w:val="single" w:sz="4" w:space="0" w:color="auto"/>
              <w:bottom w:val="single" w:sz="4" w:space="0" w:color="auto"/>
              <w:right w:val="single" w:sz="4" w:space="0" w:color="auto"/>
            </w:tcBorders>
            <w:shd w:val="clear" w:color="auto" w:fill="FFFFFF"/>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正、副省级及</w:t>
            </w:r>
          </w:p>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相当职务人员</w:t>
            </w:r>
          </w:p>
        </w:tc>
        <w:tc>
          <w:tcPr>
            <w:tcW w:w="1440" w:type="dxa"/>
            <w:tcBorders>
              <w:top w:val="nil"/>
              <w:left w:val="nil"/>
              <w:bottom w:val="single" w:sz="4" w:space="0" w:color="auto"/>
              <w:right w:val="single" w:sz="4" w:space="0" w:color="auto"/>
            </w:tcBorders>
            <w:shd w:val="clear" w:color="auto" w:fill="FFFFFF"/>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副市级、市局级及相当职务人员</w:t>
            </w:r>
          </w:p>
        </w:tc>
        <w:tc>
          <w:tcPr>
            <w:tcW w:w="1336" w:type="dxa"/>
            <w:tcBorders>
              <w:top w:val="nil"/>
              <w:left w:val="nil"/>
              <w:bottom w:val="single" w:sz="4" w:space="0" w:color="auto"/>
              <w:right w:val="single" w:sz="4" w:space="0" w:color="auto"/>
            </w:tcBorders>
            <w:shd w:val="clear" w:color="auto" w:fill="FFFFFF"/>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其他人员</w:t>
            </w:r>
          </w:p>
        </w:tc>
        <w:tc>
          <w:tcPr>
            <w:tcW w:w="2154" w:type="dxa"/>
            <w:vMerge/>
            <w:tcBorders>
              <w:top w:val="single" w:sz="4" w:space="0" w:color="auto"/>
              <w:left w:val="nil"/>
              <w:bottom w:val="single" w:sz="4" w:space="0" w:color="auto"/>
              <w:right w:val="single" w:sz="4" w:space="0" w:color="auto"/>
            </w:tcBorders>
            <w:vAlign w:val="center"/>
          </w:tcPr>
          <w:p w:rsidR="00E37845" w:rsidRDefault="00E37845">
            <w:pPr>
              <w:jc w:val="center"/>
              <w:rPr>
                <w:rFonts w:ascii="仿宋_GB2312" w:eastAsia="仿宋_GB2312" w:hAnsi="仿宋_GB2312" w:cs="仿宋_GB2312"/>
                <w:color w:val="000000" w:themeColor="text1"/>
                <w:sz w:val="24"/>
                <w:szCs w:val="24"/>
              </w:rPr>
            </w:pPr>
          </w:p>
        </w:tc>
      </w:tr>
      <w:tr w:rsidR="00E37845">
        <w:trPr>
          <w:trHeight w:val="744"/>
        </w:trPr>
        <w:tc>
          <w:tcPr>
            <w:tcW w:w="800" w:type="dxa"/>
            <w:tcBorders>
              <w:top w:val="nil"/>
              <w:left w:val="single" w:sz="4" w:space="0" w:color="auto"/>
              <w:bottom w:val="single" w:sz="4" w:space="0" w:color="auto"/>
              <w:right w:val="single" w:sz="4" w:space="0" w:color="auto"/>
            </w:tcBorders>
            <w:shd w:val="clear" w:color="auto" w:fill="FFFFFF"/>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w:t>
            </w:r>
          </w:p>
        </w:tc>
        <w:tc>
          <w:tcPr>
            <w:tcW w:w="1246" w:type="dxa"/>
            <w:tcBorders>
              <w:top w:val="nil"/>
              <w:left w:val="nil"/>
              <w:bottom w:val="single" w:sz="4" w:space="0" w:color="auto"/>
              <w:right w:val="single" w:sz="4" w:space="0" w:color="auto"/>
            </w:tcBorders>
            <w:shd w:val="clear" w:color="auto" w:fill="FFFFFF"/>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广东省内</w:t>
            </w:r>
          </w:p>
        </w:tc>
        <w:tc>
          <w:tcPr>
            <w:tcW w:w="1764" w:type="dxa"/>
            <w:tcBorders>
              <w:top w:val="nil"/>
              <w:left w:val="nil"/>
              <w:bottom w:val="single" w:sz="4" w:space="0" w:color="auto"/>
              <w:right w:val="single" w:sz="4" w:space="0" w:color="auto"/>
            </w:tcBorders>
            <w:shd w:val="clear" w:color="auto" w:fill="FFFFFF"/>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850-900</w:t>
            </w:r>
          </w:p>
        </w:tc>
        <w:tc>
          <w:tcPr>
            <w:tcW w:w="1440" w:type="dxa"/>
            <w:tcBorders>
              <w:top w:val="nil"/>
              <w:left w:val="nil"/>
              <w:bottom w:val="single" w:sz="4" w:space="0" w:color="auto"/>
              <w:right w:val="single" w:sz="4" w:space="0" w:color="auto"/>
            </w:tcBorders>
            <w:shd w:val="clear" w:color="auto" w:fill="FFFFFF"/>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500-550</w:t>
            </w:r>
          </w:p>
        </w:tc>
        <w:tc>
          <w:tcPr>
            <w:tcW w:w="1336" w:type="dxa"/>
            <w:tcBorders>
              <w:top w:val="nil"/>
              <w:left w:val="nil"/>
              <w:bottom w:val="single" w:sz="4" w:space="0" w:color="auto"/>
              <w:right w:val="single" w:sz="4" w:space="0" w:color="auto"/>
            </w:tcBorders>
            <w:shd w:val="clear" w:color="auto" w:fill="FFFFFF"/>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400-450</w:t>
            </w:r>
          </w:p>
        </w:tc>
        <w:tc>
          <w:tcPr>
            <w:tcW w:w="2154" w:type="dxa"/>
            <w:tcBorders>
              <w:top w:val="nil"/>
              <w:left w:val="nil"/>
              <w:bottom w:val="single" w:sz="4" w:space="0" w:color="auto"/>
              <w:right w:val="single" w:sz="4" w:space="0" w:color="auto"/>
            </w:tcBorders>
            <w:shd w:val="clear" w:color="auto" w:fill="FFFFFF"/>
            <w:vAlign w:val="center"/>
          </w:tcPr>
          <w:p w:rsidR="00E37845" w:rsidRDefault="00E37845">
            <w:pPr>
              <w:jc w:val="center"/>
              <w:rPr>
                <w:rFonts w:ascii="仿宋_GB2312" w:eastAsia="仿宋_GB2312" w:hAnsi="仿宋_GB2312" w:cs="仿宋_GB2312"/>
                <w:color w:val="000000" w:themeColor="text1"/>
                <w:sz w:val="24"/>
                <w:szCs w:val="24"/>
              </w:rPr>
            </w:pPr>
          </w:p>
        </w:tc>
      </w:tr>
      <w:tr w:rsidR="00E37845">
        <w:trPr>
          <w:trHeight w:val="872"/>
        </w:trPr>
        <w:tc>
          <w:tcPr>
            <w:tcW w:w="800" w:type="dxa"/>
            <w:tcBorders>
              <w:top w:val="nil"/>
              <w:left w:val="single" w:sz="4" w:space="0" w:color="auto"/>
              <w:bottom w:val="single" w:sz="4" w:space="0" w:color="auto"/>
              <w:right w:val="single" w:sz="4" w:space="0" w:color="auto"/>
            </w:tcBorders>
            <w:shd w:val="clear" w:color="auto" w:fill="FFFFFF"/>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w:t>
            </w:r>
          </w:p>
        </w:tc>
        <w:tc>
          <w:tcPr>
            <w:tcW w:w="1246" w:type="dxa"/>
            <w:tcBorders>
              <w:top w:val="nil"/>
              <w:left w:val="nil"/>
              <w:bottom w:val="single" w:sz="4" w:space="0" w:color="auto"/>
              <w:right w:val="single" w:sz="4" w:space="0" w:color="auto"/>
            </w:tcBorders>
            <w:shd w:val="clear" w:color="auto" w:fill="FFFFFF"/>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其他</w:t>
            </w:r>
          </w:p>
        </w:tc>
        <w:tc>
          <w:tcPr>
            <w:tcW w:w="1764" w:type="dxa"/>
            <w:tcBorders>
              <w:top w:val="nil"/>
              <w:left w:val="nil"/>
              <w:bottom w:val="single" w:sz="4" w:space="0" w:color="auto"/>
              <w:right w:val="single" w:sz="4" w:space="0" w:color="auto"/>
            </w:tcBorders>
            <w:shd w:val="clear" w:color="auto" w:fill="FFFFFF"/>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800-1100</w:t>
            </w:r>
          </w:p>
        </w:tc>
        <w:tc>
          <w:tcPr>
            <w:tcW w:w="1440" w:type="dxa"/>
            <w:tcBorders>
              <w:top w:val="nil"/>
              <w:left w:val="nil"/>
              <w:bottom w:val="single" w:sz="4" w:space="0" w:color="auto"/>
              <w:right w:val="single" w:sz="4" w:space="0" w:color="auto"/>
            </w:tcBorders>
            <w:shd w:val="clear" w:color="auto" w:fill="FFFFFF"/>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450-650</w:t>
            </w:r>
          </w:p>
        </w:tc>
        <w:tc>
          <w:tcPr>
            <w:tcW w:w="1336" w:type="dxa"/>
            <w:tcBorders>
              <w:top w:val="nil"/>
              <w:left w:val="nil"/>
              <w:bottom w:val="single" w:sz="4" w:space="0" w:color="auto"/>
              <w:right w:val="single" w:sz="4" w:space="0" w:color="auto"/>
            </w:tcBorders>
            <w:shd w:val="clear" w:color="auto" w:fill="FFFFFF"/>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350-500</w:t>
            </w:r>
          </w:p>
        </w:tc>
        <w:tc>
          <w:tcPr>
            <w:tcW w:w="2154" w:type="dxa"/>
            <w:tcBorders>
              <w:top w:val="nil"/>
              <w:left w:val="nil"/>
              <w:bottom w:val="single" w:sz="4" w:space="0" w:color="auto"/>
              <w:right w:val="single" w:sz="4" w:space="0" w:color="auto"/>
            </w:tcBorders>
            <w:shd w:val="clear" w:color="auto" w:fill="FFFFFF"/>
            <w:vAlign w:val="center"/>
          </w:tcPr>
          <w:p w:rsidR="00E37845" w:rsidRDefault="00E22BD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部分地区（城市）旺季上浮</w:t>
            </w:r>
            <w:r>
              <w:rPr>
                <w:rFonts w:ascii="仿宋_GB2312" w:eastAsia="仿宋_GB2312" w:hAnsi="仿宋_GB2312" w:cs="仿宋_GB2312"/>
                <w:color w:val="000000" w:themeColor="text1"/>
                <w:sz w:val="24"/>
                <w:szCs w:val="24"/>
              </w:rPr>
              <w:t>20-50%</w:t>
            </w:r>
          </w:p>
        </w:tc>
      </w:tr>
    </w:tbl>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备注：不同地区（城市）标准不同，表中所示标准为相应职级人员在不同地区（城市）标准的最低和最高区间。</w:t>
      </w:r>
    </w:p>
    <w:p w:rsidR="00E37845" w:rsidRDefault="00E22BDD">
      <w:pPr>
        <w:spacing w:before="10" w:after="10" w:line="360" w:lineRule="auto"/>
        <w:ind w:firstLineChars="200" w:firstLine="482"/>
        <w:jc w:val="left"/>
        <w:rPr>
          <w:rFonts w:ascii="仿宋_GB2312" w:eastAsia="仿宋_GB2312" w:hAnsi="仿宋_GB2312" w:cs="仿宋_GB2312"/>
          <w:color w:val="000000" w:themeColor="text1"/>
          <w:sz w:val="24"/>
          <w:szCs w:val="44"/>
        </w:rPr>
      </w:pPr>
      <w:bookmarkStart w:id="2597" w:name="_Toc14524"/>
      <w:bookmarkStart w:id="2598" w:name="_Toc28283"/>
      <w:bookmarkStart w:id="2599" w:name="_Toc2272"/>
      <w:bookmarkStart w:id="2600" w:name="_Toc13078"/>
      <w:bookmarkStart w:id="2601" w:name="_Toc519781023"/>
      <w:bookmarkStart w:id="2602" w:name="_Toc22486"/>
      <w:bookmarkStart w:id="2603" w:name="_Toc17506"/>
      <w:r>
        <w:rPr>
          <w:rFonts w:ascii="仿宋_GB2312" w:eastAsia="仿宋_GB2312" w:hAnsi="仿宋_GB2312" w:cs="仿宋_GB2312"/>
          <w:b/>
          <w:bCs/>
          <w:color w:val="000000" w:themeColor="text1"/>
          <w:sz w:val="24"/>
          <w:szCs w:val="44"/>
        </w:rPr>
        <w:t>8.3.1.2.3市内交通费、伙食补助费合计标准为</w:t>
      </w:r>
      <w:r>
        <w:rPr>
          <w:rFonts w:ascii="仿宋_GB2312" w:eastAsia="仿宋_GB2312" w:hAnsi="仿宋_GB2312" w:cs="仿宋_GB2312"/>
          <w:color w:val="000000" w:themeColor="text1"/>
          <w:sz w:val="24"/>
          <w:szCs w:val="44"/>
        </w:rPr>
        <w:t>：时间在10天（含10天）以内</w:t>
      </w:r>
      <w:r>
        <w:rPr>
          <w:rFonts w:ascii="仿宋_GB2312" w:eastAsia="仿宋_GB2312" w:hAnsi="仿宋_GB2312" w:cs="仿宋_GB2312" w:hint="eastAsia"/>
          <w:color w:val="000000" w:themeColor="text1"/>
          <w:sz w:val="24"/>
          <w:szCs w:val="44"/>
        </w:rPr>
        <w:t>的，每人每天补助</w:t>
      </w:r>
      <w:r>
        <w:rPr>
          <w:rFonts w:ascii="仿宋_GB2312" w:eastAsia="仿宋_GB2312" w:hAnsi="仿宋_GB2312" w:cs="仿宋_GB2312"/>
          <w:color w:val="000000" w:themeColor="text1"/>
          <w:sz w:val="24"/>
          <w:szCs w:val="44"/>
        </w:rPr>
        <w:t>180天（其中伙食补助费100元，市内交通费80元）；时间在10天以上的，超过天数每人每天补助100元。</w:t>
      </w:r>
      <w:bookmarkEnd w:id="2597"/>
      <w:bookmarkEnd w:id="2598"/>
      <w:bookmarkEnd w:id="2599"/>
      <w:bookmarkEnd w:id="2600"/>
      <w:bookmarkEnd w:id="2601"/>
      <w:bookmarkEnd w:id="2602"/>
      <w:bookmarkEnd w:id="2603"/>
    </w:p>
    <w:p w:rsidR="00E37845" w:rsidRDefault="00E22BDD">
      <w:pPr>
        <w:spacing w:before="10" w:after="10" w:line="360" w:lineRule="auto"/>
        <w:ind w:firstLineChars="200" w:firstLine="482"/>
        <w:jc w:val="left"/>
        <w:rPr>
          <w:rFonts w:ascii="仿宋_GB2312" w:eastAsia="仿宋_GB2312" w:hAnsi="仿宋_GB2312" w:cs="仿宋_GB2312"/>
          <w:color w:val="000000" w:themeColor="text1"/>
          <w:sz w:val="24"/>
          <w:szCs w:val="44"/>
        </w:rPr>
      </w:pPr>
      <w:bookmarkStart w:id="2604" w:name="_Toc15424"/>
      <w:bookmarkStart w:id="2605" w:name="_Toc3099"/>
      <w:bookmarkStart w:id="2606" w:name="_Toc12041"/>
      <w:bookmarkStart w:id="2607" w:name="_Toc29694"/>
      <w:bookmarkStart w:id="2608" w:name="_Toc519781025"/>
      <w:bookmarkStart w:id="2609" w:name="_Toc16431"/>
      <w:bookmarkStart w:id="2610" w:name="_Toc13374"/>
      <w:r>
        <w:rPr>
          <w:rFonts w:ascii="仿宋_GB2312" w:eastAsia="仿宋_GB2312" w:hAnsi="仿宋_GB2312" w:cs="仿宋_GB2312"/>
          <w:b/>
          <w:bCs/>
          <w:color w:val="000000" w:themeColor="text1"/>
          <w:sz w:val="24"/>
          <w:szCs w:val="44"/>
        </w:rPr>
        <w:t>8.3.2.1举办会议开支范围</w:t>
      </w:r>
      <w:r>
        <w:rPr>
          <w:rFonts w:ascii="仿宋_GB2312" w:eastAsia="仿宋_GB2312" w:hAnsi="仿宋_GB2312" w:cs="仿宋_GB2312" w:hint="eastAsia"/>
          <w:b/>
          <w:bCs/>
          <w:color w:val="000000" w:themeColor="text1"/>
          <w:sz w:val="24"/>
          <w:szCs w:val="44"/>
        </w:rPr>
        <w:t>：</w:t>
      </w:r>
      <w:r>
        <w:rPr>
          <w:rFonts w:ascii="仿宋_GB2312" w:eastAsia="仿宋_GB2312" w:hAnsi="仿宋_GB2312" w:cs="仿宋_GB2312"/>
          <w:color w:val="000000" w:themeColor="text1"/>
          <w:sz w:val="24"/>
          <w:szCs w:val="44"/>
        </w:rPr>
        <w:t>包括会议住宿费、伙食费、会议室租金、交通费、文</w:t>
      </w:r>
      <w:r>
        <w:rPr>
          <w:rFonts w:ascii="仿宋_GB2312" w:eastAsia="仿宋_GB2312" w:hAnsi="仿宋_GB2312" w:cs="仿宋_GB2312" w:hint="eastAsia"/>
          <w:color w:val="000000" w:themeColor="text1"/>
          <w:sz w:val="24"/>
          <w:szCs w:val="44"/>
        </w:rPr>
        <w:t>件印刷费、办公文具费、医药费、宣传费等；国际会议可开支同声传译翻译费、同声传译设备租金费用。</w:t>
      </w:r>
      <w:bookmarkEnd w:id="2604"/>
      <w:bookmarkEnd w:id="2605"/>
      <w:bookmarkEnd w:id="2606"/>
      <w:bookmarkEnd w:id="2607"/>
      <w:bookmarkEnd w:id="2608"/>
      <w:bookmarkEnd w:id="2609"/>
      <w:bookmarkEnd w:id="2610"/>
    </w:p>
    <w:p w:rsidR="00E37845" w:rsidRDefault="00E22BDD">
      <w:pPr>
        <w:spacing w:line="360" w:lineRule="auto"/>
        <w:ind w:firstLineChars="200" w:firstLine="482"/>
        <w:rPr>
          <w:rFonts w:ascii="仿宋_GB2312" w:eastAsia="仿宋_GB2312" w:hAnsi="仿宋_GB2312" w:cs="仿宋_GB2312"/>
          <w:sz w:val="24"/>
          <w:szCs w:val="44"/>
        </w:rPr>
      </w:pPr>
      <w:r>
        <w:rPr>
          <w:rFonts w:ascii="仿宋_GB2312" w:eastAsia="仿宋_GB2312" w:hAnsi="仿宋_GB2312" w:cs="仿宋_GB2312"/>
          <w:b/>
          <w:bCs/>
          <w:sz w:val="24"/>
          <w:szCs w:val="44"/>
        </w:rPr>
        <w:t>8.3.2.2</w:t>
      </w:r>
      <w:r>
        <w:rPr>
          <w:rFonts w:ascii="仿宋_GB2312" w:eastAsia="仿宋_GB2312" w:hAnsi="仿宋_GB2312" w:cs="仿宋_GB2312"/>
          <w:sz w:val="24"/>
          <w:szCs w:val="44"/>
        </w:rPr>
        <w:t>会议费开支实行综合定额控制，各项费用之间可以调剂使用。会议费综</w:t>
      </w:r>
      <w:r>
        <w:rPr>
          <w:rFonts w:ascii="仿宋_GB2312" w:eastAsia="仿宋_GB2312" w:hAnsi="仿宋_GB2312" w:cs="仿宋_GB2312" w:hint="eastAsia"/>
          <w:sz w:val="24"/>
          <w:szCs w:val="44"/>
        </w:rPr>
        <w:t>合定额标准如下（单位：元</w:t>
      </w:r>
      <w:r>
        <w:rPr>
          <w:rFonts w:ascii="仿宋_GB2312" w:eastAsia="仿宋_GB2312" w:hAnsi="仿宋_GB2312" w:cs="仿宋_GB2312"/>
          <w:sz w:val="24"/>
          <w:szCs w:val="44"/>
        </w:rPr>
        <w:t>/人•天）。</w:t>
      </w:r>
    </w:p>
    <w:tbl>
      <w:tblPr>
        <w:tblW w:w="8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0"/>
        <w:gridCol w:w="1282"/>
        <w:gridCol w:w="1427"/>
        <w:gridCol w:w="1567"/>
        <w:gridCol w:w="1854"/>
      </w:tblGrid>
      <w:tr w:rsidR="00E37845">
        <w:trPr>
          <w:trHeight w:val="1019"/>
        </w:trPr>
        <w:tc>
          <w:tcPr>
            <w:tcW w:w="271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360" w:lineRule="auto"/>
              <w:ind w:firstLineChars="200" w:firstLine="482"/>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会议类别</w:t>
            </w:r>
          </w:p>
        </w:tc>
        <w:tc>
          <w:tcPr>
            <w:tcW w:w="1282"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line="360" w:lineRule="auto"/>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住宿费</w:t>
            </w:r>
          </w:p>
        </w:tc>
        <w:tc>
          <w:tcPr>
            <w:tcW w:w="1427"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line="360" w:lineRule="auto"/>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伙食费</w:t>
            </w:r>
          </w:p>
        </w:tc>
        <w:tc>
          <w:tcPr>
            <w:tcW w:w="1567"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line="360" w:lineRule="auto"/>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其他费用</w:t>
            </w:r>
          </w:p>
        </w:tc>
        <w:tc>
          <w:tcPr>
            <w:tcW w:w="1854"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line="360" w:lineRule="auto"/>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合计</w:t>
            </w:r>
          </w:p>
        </w:tc>
      </w:tr>
      <w:tr w:rsidR="00E37845">
        <w:trPr>
          <w:trHeight w:val="514"/>
        </w:trPr>
        <w:tc>
          <w:tcPr>
            <w:tcW w:w="271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国内业务会议</w:t>
            </w:r>
          </w:p>
        </w:tc>
        <w:tc>
          <w:tcPr>
            <w:tcW w:w="1282"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500</w:t>
            </w:r>
          </w:p>
        </w:tc>
        <w:tc>
          <w:tcPr>
            <w:tcW w:w="1427"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150</w:t>
            </w:r>
          </w:p>
        </w:tc>
        <w:tc>
          <w:tcPr>
            <w:tcW w:w="1567"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100</w:t>
            </w:r>
          </w:p>
        </w:tc>
        <w:tc>
          <w:tcPr>
            <w:tcW w:w="1854"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750</w:t>
            </w:r>
          </w:p>
        </w:tc>
      </w:tr>
      <w:tr w:rsidR="00E37845">
        <w:trPr>
          <w:trHeight w:val="514"/>
        </w:trPr>
        <w:tc>
          <w:tcPr>
            <w:tcW w:w="271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国内管理会议</w:t>
            </w:r>
          </w:p>
        </w:tc>
        <w:tc>
          <w:tcPr>
            <w:tcW w:w="1282"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340</w:t>
            </w:r>
          </w:p>
        </w:tc>
        <w:tc>
          <w:tcPr>
            <w:tcW w:w="1427"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130</w:t>
            </w:r>
          </w:p>
        </w:tc>
        <w:tc>
          <w:tcPr>
            <w:tcW w:w="1567"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80</w:t>
            </w:r>
          </w:p>
        </w:tc>
        <w:tc>
          <w:tcPr>
            <w:tcW w:w="1854"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550</w:t>
            </w:r>
          </w:p>
        </w:tc>
      </w:tr>
      <w:tr w:rsidR="00E37845">
        <w:trPr>
          <w:trHeight w:val="548"/>
        </w:trPr>
        <w:tc>
          <w:tcPr>
            <w:tcW w:w="2710"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在华举办国际会议</w:t>
            </w:r>
          </w:p>
        </w:tc>
        <w:tc>
          <w:tcPr>
            <w:tcW w:w="1282"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700</w:t>
            </w:r>
          </w:p>
        </w:tc>
        <w:tc>
          <w:tcPr>
            <w:tcW w:w="1427"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200</w:t>
            </w:r>
          </w:p>
        </w:tc>
        <w:tc>
          <w:tcPr>
            <w:tcW w:w="1567"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300</w:t>
            </w:r>
          </w:p>
        </w:tc>
        <w:tc>
          <w:tcPr>
            <w:tcW w:w="1854"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1200</w:t>
            </w:r>
          </w:p>
        </w:tc>
      </w:tr>
    </w:tbl>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611" w:name="_Toc31277"/>
      <w:bookmarkStart w:id="2612" w:name="_Toc29564"/>
      <w:bookmarkStart w:id="2613" w:name="_Toc3141"/>
      <w:bookmarkStart w:id="2614" w:name="_Toc31025"/>
      <w:bookmarkStart w:id="2615" w:name="_Toc19569"/>
      <w:bookmarkStart w:id="2616" w:name="_Toc24710"/>
      <w:bookmarkStart w:id="2617" w:name="_Toc3042"/>
      <w:bookmarkStart w:id="2618" w:name="_Toc6142"/>
      <w:bookmarkStart w:id="2619" w:name="_Toc2544"/>
      <w:bookmarkStart w:id="2620" w:name="_Toc157"/>
      <w:bookmarkStart w:id="2621" w:name="_Toc207"/>
      <w:bookmarkStart w:id="2622" w:name="_Toc11446"/>
      <w:bookmarkStart w:id="2623" w:name="_Toc24942"/>
      <w:bookmarkStart w:id="2624" w:name="_Toc20337"/>
      <w:bookmarkStart w:id="2625" w:name="_Toc18650"/>
      <w:bookmarkStart w:id="2626" w:name="_Toc519781026"/>
      <w:bookmarkStart w:id="2627" w:name="_Toc3847"/>
      <w:bookmarkStart w:id="2628" w:name="_Toc21091"/>
      <w:bookmarkStart w:id="2629" w:name="_Toc3499"/>
      <w:bookmarkStart w:id="2630" w:name="_Toc25043"/>
      <w:bookmarkStart w:id="2631" w:name="_Toc30901"/>
      <w:bookmarkStart w:id="2632" w:name="_Toc18298"/>
      <w:bookmarkStart w:id="2633" w:name="_Toc21253"/>
      <w:bookmarkStart w:id="2634" w:name="_Toc18080"/>
      <w:bookmarkStart w:id="2635" w:name="_Toc6925"/>
      <w:bookmarkStart w:id="2636" w:name="_Toc24219"/>
      <w:r>
        <w:rPr>
          <w:rFonts w:ascii="黑体" w:eastAsia="黑体" w:hAnsi="黑体" w:cs="黑体" w:hint="eastAsia"/>
          <w:color w:val="000000" w:themeColor="text1"/>
          <w:sz w:val="28"/>
          <w:szCs w:val="28"/>
        </w:rPr>
        <w:t>8.3.3培训费标准</w:t>
      </w:r>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p>
    <w:p w:rsidR="00E37845" w:rsidRDefault="00E22BDD">
      <w:pPr>
        <w:spacing w:line="360" w:lineRule="auto"/>
        <w:ind w:firstLineChars="200" w:firstLine="482"/>
        <w:rPr>
          <w:rFonts w:ascii="仿宋_GB2312" w:eastAsia="仿宋_GB2312" w:hAnsi="仿宋_GB2312" w:cs="仿宋_GB2312"/>
          <w:sz w:val="24"/>
          <w:szCs w:val="44"/>
        </w:rPr>
      </w:pPr>
      <w:r>
        <w:rPr>
          <w:rFonts w:ascii="仿宋_GB2312" w:eastAsia="仿宋_GB2312" w:hAnsi="仿宋_GB2312" w:cs="仿宋_GB2312"/>
          <w:b/>
          <w:bCs/>
          <w:sz w:val="24"/>
          <w:szCs w:val="44"/>
        </w:rPr>
        <w:t>8.3.3.1</w:t>
      </w:r>
      <w:r>
        <w:rPr>
          <w:rFonts w:ascii="仿宋_GB2312" w:eastAsia="仿宋_GB2312" w:hAnsi="仿宋_GB2312" w:cs="仿宋_GB2312"/>
          <w:sz w:val="24"/>
          <w:szCs w:val="44"/>
        </w:rPr>
        <w:t>培训费是指各单位举办培训直接发生的各项费用支出，包括师资费、住</w:t>
      </w:r>
      <w:r>
        <w:rPr>
          <w:rFonts w:ascii="仿宋_GB2312" w:eastAsia="仿宋_GB2312" w:hAnsi="仿宋_GB2312" w:cs="仿宋_GB2312" w:hint="eastAsia"/>
          <w:sz w:val="24"/>
          <w:szCs w:val="44"/>
        </w:rPr>
        <w:t>宿</w:t>
      </w:r>
      <w:r>
        <w:rPr>
          <w:rFonts w:ascii="仿宋_GB2312" w:eastAsia="仿宋_GB2312" w:hAnsi="仿宋_GB2312" w:cs="仿宋_GB2312" w:hint="eastAsia"/>
          <w:sz w:val="24"/>
          <w:szCs w:val="44"/>
        </w:rPr>
        <w:lastRenderedPageBreak/>
        <w:t>费、伙食费、培训场地费、培训资料费、交通费、其他费用。</w:t>
      </w:r>
    </w:p>
    <w:p w:rsidR="00E37845" w:rsidRDefault="00E22BDD">
      <w:pPr>
        <w:spacing w:line="360" w:lineRule="auto"/>
        <w:ind w:firstLineChars="200" w:firstLine="482"/>
        <w:rPr>
          <w:rFonts w:ascii="仿宋_GB2312" w:eastAsia="仿宋_GB2312" w:hAnsi="仿宋_GB2312" w:cs="仿宋_GB2312"/>
          <w:sz w:val="24"/>
          <w:szCs w:val="44"/>
        </w:rPr>
      </w:pPr>
      <w:r>
        <w:rPr>
          <w:rFonts w:ascii="仿宋_GB2312" w:eastAsia="仿宋_GB2312" w:hAnsi="仿宋_GB2312" w:cs="仿宋_GB2312"/>
          <w:b/>
          <w:bCs/>
          <w:sz w:val="24"/>
          <w:szCs w:val="44"/>
        </w:rPr>
        <w:t>8.3.3.2</w:t>
      </w:r>
      <w:r>
        <w:rPr>
          <w:rFonts w:ascii="仿宋_GB2312" w:eastAsia="仿宋_GB2312" w:hAnsi="仿宋_GB2312" w:cs="仿宋_GB2312"/>
          <w:sz w:val="24"/>
          <w:szCs w:val="44"/>
        </w:rPr>
        <w:t>除师资费外，培训费开支实行综合定额标准，分项核定、总额控制。综</w:t>
      </w:r>
      <w:r>
        <w:rPr>
          <w:rFonts w:ascii="仿宋_GB2312" w:eastAsia="仿宋_GB2312" w:hAnsi="仿宋_GB2312" w:cs="仿宋_GB2312" w:hint="eastAsia"/>
          <w:sz w:val="24"/>
          <w:szCs w:val="44"/>
        </w:rPr>
        <w:t>合定额标准如下（单位：元</w:t>
      </w:r>
      <w:r>
        <w:rPr>
          <w:rFonts w:ascii="仿宋_GB2312" w:eastAsia="仿宋_GB2312" w:hAnsi="仿宋_GB2312" w:cs="仿宋_GB2312"/>
          <w:sz w:val="24"/>
          <w:szCs w:val="44"/>
        </w:rPr>
        <w:t>/人·天）。</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2"/>
        <w:gridCol w:w="1181"/>
        <w:gridCol w:w="1105"/>
        <w:gridCol w:w="2714"/>
        <w:gridCol w:w="1427"/>
        <w:gridCol w:w="1001"/>
      </w:tblGrid>
      <w:tr w:rsidR="00E37845">
        <w:trPr>
          <w:trHeight w:val="907"/>
          <w:jc w:val="center"/>
        </w:trPr>
        <w:tc>
          <w:tcPr>
            <w:tcW w:w="1572"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beforeLines="50" w:before="156" w:afterLines="50" w:after="156" w:line="360" w:lineRule="auto"/>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培训类别</w:t>
            </w:r>
          </w:p>
        </w:tc>
        <w:tc>
          <w:tcPr>
            <w:tcW w:w="1181"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afterLines="50" w:after="156" w:line="360" w:lineRule="auto"/>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住宿费</w:t>
            </w:r>
          </w:p>
        </w:tc>
        <w:tc>
          <w:tcPr>
            <w:tcW w:w="1105"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afterLines="50" w:after="156" w:line="360" w:lineRule="auto"/>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伙食费</w:t>
            </w:r>
          </w:p>
        </w:tc>
        <w:tc>
          <w:tcPr>
            <w:tcW w:w="2714"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afterLines="50" w:after="156" w:line="360" w:lineRule="auto"/>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场地、资料、交通费</w:t>
            </w:r>
          </w:p>
        </w:tc>
        <w:tc>
          <w:tcPr>
            <w:tcW w:w="1427"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afterLines="50" w:after="156" w:line="360" w:lineRule="auto"/>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其他费用</w:t>
            </w:r>
          </w:p>
        </w:tc>
        <w:tc>
          <w:tcPr>
            <w:tcW w:w="1001"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afterLines="50" w:after="156" w:line="360" w:lineRule="auto"/>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合计</w:t>
            </w:r>
          </w:p>
        </w:tc>
      </w:tr>
      <w:tr w:rsidR="00E37845">
        <w:trPr>
          <w:trHeight w:val="727"/>
          <w:jc w:val="center"/>
        </w:trPr>
        <w:tc>
          <w:tcPr>
            <w:tcW w:w="1572"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beforeLines="50" w:before="156" w:afterLines="50" w:after="156"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一类培训</w:t>
            </w:r>
          </w:p>
        </w:tc>
        <w:tc>
          <w:tcPr>
            <w:tcW w:w="1181"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afterLines="50" w:after="156"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400</w:t>
            </w:r>
          </w:p>
        </w:tc>
        <w:tc>
          <w:tcPr>
            <w:tcW w:w="1105"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afterLines="50" w:after="156"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150</w:t>
            </w:r>
          </w:p>
        </w:tc>
        <w:tc>
          <w:tcPr>
            <w:tcW w:w="2714"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afterLines="50" w:after="156"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70</w:t>
            </w:r>
          </w:p>
        </w:tc>
        <w:tc>
          <w:tcPr>
            <w:tcW w:w="1427"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afterLines="50" w:after="156"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30</w:t>
            </w:r>
          </w:p>
        </w:tc>
        <w:tc>
          <w:tcPr>
            <w:tcW w:w="1001"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afterLines="50" w:after="156"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650</w:t>
            </w:r>
          </w:p>
        </w:tc>
      </w:tr>
      <w:tr w:rsidR="00E37845">
        <w:trPr>
          <w:trHeight w:val="713"/>
          <w:jc w:val="center"/>
        </w:trPr>
        <w:tc>
          <w:tcPr>
            <w:tcW w:w="1572"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beforeLines="50" w:before="156" w:afterLines="50" w:after="156"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二类培训</w:t>
            </w:r>
          </w:p>
        </w:tc>
        <w:tc>
          <w:tcPr>
            <w:tcW w:w="1181"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afterLines="50" w:after="156"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340</w:t>
            </w:r>
          </w:p>
        </w:tc>
        <w:tc>
          <w:tcPr>
            <w:tcW w:w="1105"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afterLines="50" w:after="156"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130</w:t>
            </w:r>
          </w:p>
        </w:tc>
        <w:tc>
          <w:tcPr>
            <w:tcW w:w="2714"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afterLines="50" w:after="156"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50</w:t>
            </w:r>
          </w:p>
        </w:tc>
        <w:tc>
          <w:tcPr>
            <w:tcW w:w="1427"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afterLines="50" w:after="156"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30</w:t>
            </w:r>
          </w:p>
        </w:tc>
        <w:tc>
          <w:tcPr>
            <w:tcW w:w="1001"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afterLines="50" w:after="156"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550</w:t>
            </w:r>
          </w:p>
        </w:tc>
      </w:tr>
    </w:tbl>
    <w:p w:rsidR="00E37845" w:rsidRDefault="00E22BDD">
      <w:pPr>
        <w:spacing w:before="10" w:after="10" w:line="360" w:lineRule="auto"/>
        <w:ind w:firstLineChars="200" w:firstLine="482"/>
        <w:jc w:val="left"/>
        <w:rPr>
          <w:rFonts w:ascii="仿宋_GB2312" w:eastAsia="仿宋_GB2312" w:hAnsi="仿宋_GB2312" w:cs="仿宋_GB2312"/>
          <w:color w:val="000000" w:themeColor="text1"/>
          <w:sz w:val="24"/>
          <w:szCs w:val="44"/>
        </w:rPr>
      </w:pPr>
      <w:bookmarkStart w:id="2637" w:name="_Toc519781027"/>
      <w:bookmarkStart w:id="2638" w:name="_Toc32754"/>
      <w:bookmarkStart w:id="2639" w:name="_Toc20816"/>
      <w:bookmarkStart w:id="2640" w:name="_Toc21229"/>
      <w:bookmarkStart w:id="2641" w:name="_Toc22418"/>
      <w:bookmarkStart w:id="2642" w:name="_Toc27109"/>
      <w:bookmarkStart w:id="2643" w:name="_Toc19313"/>
      <w:r>
        <w:rPr>
          <w:rFonts w:ascii="仿宋_GB2312" w:eastAsia="仿宋_GB2312" w:hAnsi="仿宋_GB2312" w:cs="仿宋_GB2312"/>
          <w:b/>
          <w:bCs/>
          <w:color w:val="000000" w:themeColor="text1"/>
          <w:sz w:val="24"/>
          <w:szCs w:val="44"/>
        </w:rPr>
        <w:t>8.3.3.3</w:t>
      </w:r>
      <w:r>
        <w:rPr>
          <w:rFonts w:ascii="仿宋_GB2312" w:eastAsia="仿宋_GB2312" w:hAnsi="仿宋_GB2312" w:cs="仿宋_GB2312"/>
          <w:color w:val="000000" w:themeColor="text1"/>
          <w:sz w:val="24"/>
          <w:szCs w:val="44"/>
        </w:rPr>
        <w:t>师资费标准。副高级技术职称专业人员每学时最高不超过500元，正高</w:t>
      </w:r>
      <w:r>
        <w:rPr>
          <w:rFonts w:ascii="仿宋_GB2312" w:eastAsia="仿宋_GB2312" w:hAnsi="仿宋_GB2312" w:cs="仿宋_GB2312" w:hint="eastAsia"/>
          <w:color w:val="000000" w:themeColor="text1"/>
          <w:sz w:val="24"/>
          <w:szCs w:val="44"/>
        </w:rPr>
        <w:t>级技术职称专业人员每学时最高不超过</w:t>
      </w:r>
      <w:r>
        <w:rPr>
          <w:rFonts w:ascii="仿宋_GB2312" w:eastAsia="仿宋_GB2312" w:hAnsi="仿宋_GB2312" w:cs="仿宋_GB2312"/>
          <w:color w:val="000000" w:themeColor="text1"/>
          <w:sz w:val="24"/>
          <w:szCs w:val="44"/>
        </w:rPr>
        <w:t>1000元，院士、全国知名专家每学时一般不超过1500元。</w:t>
      </w:r>
      <w:bookmarkEnd w:id="2637"/>
      <w:bookmarkEnd w:id="2638"/>
      <w:bookmarkEnd w:id="2639"/>
      <w:bookmarkEnd w:id="2640"/>
      <w:bookmarkEnd w:id="2641"/>
      <w:bookmarkEnd w:id="2642"/>
      <w:bookmarkEnd w:id="2643"/>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644" w:name="_Toc17942"/>
      <w:bookmarkStart w:id="2645" w:name="_Toc9502"/>
      <w:bookmarkStart w:id="2646" w:name="_Toc14586"/>
      <w:bookmarkStart w:id="2647" w:name="_Toc11732"/>
      <w:bookmarkStart w:id="2648" w:name="_Toc26234"/>
      <w:bookmarkStart w:id="2649" w:name="_Toc31146"/>
      <w:bookmarkStart w:id="2650" w:name="_Toc22044"/>
      <w:bookmarkStart w:id="2651" w:name="_Toc22009"/>
      <w:bookmarkStart w:id="2652" w:name="_Toc9126"/>
      <w:bookmarkStart w:id="2653" w:name="_Toc16437"/>
      <w:bookmarkStart w:id="2654" w:name="_Toc21552"/>
      <w:bookmarkStart w:id="2655" w:name="_Toc15846"/>
      <w:bookmarkStart w:id="2656" w:name="_Toc28789"/>
      <w:bookmarkStart w:id="2657" w:name="_Toc31915"/>
      <w:bookmarkStart w:id="2658" w:name="_Toc26178"/>
      <w:bookmarkStart w:id="2659" w:name="_Toc27549"/>
      <w:bookmarkStart w:id="2660" w:name="_Toc5989"/>
      <w:bookmarkStart w:id="2661" w:name="_Toc18958"/>
      <w:bookmarkStart w:id="2662" w:name="_Toc16110"/>
      <w:bookmarkStart w:id="2663" w:name="_Toc10669"/>
      <w:bookmarkStart w:id="2664" w:name="_Toc519781028"/>
      <w:bookmarkStart w:id="2665" w:name="_Toc14959"/>
      <w:bookmarkStart w:id="2666" w:name="_Toc23545"/>
      <w:bookmarkStart w:id="2667" w:name="_Toc25553"/>
      <w:bookmarkStart w:id="2668" w:name="_Toc27891"/>
      <w:bookmarkStart w:id="2669" w:name="_Toc23499"/>
      <w:r>
        <w:rPr>
          <w:rFonts w:ascii="黑体" w:eastAsia="黑体" w:hAnsi="黑体" w:cs="黑体" w:hint="eastAsia"/>
          <w:color w:val="000000" w:themeColor="text1"/>
          <w:sz w:val="28"/>
          <w:szCs w:val="28"/>
        </w:rPr>
        <w:t>8.3.4误餐费夜餐费标准</w:t>
      </w:r>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p>
    <w:p w:rsidR="00E37845" w:rsidRDefault="00E22BDD">
      <w:pPr>
        <w:spacing w:before="10" w:after="10" w:line="360" w:lineRule="auto"/>
        <w:ind w:firstLineChars="200" w:firstLine="482"/>
        <w:jc w:val="left"/>
        <w:rPr>
          <w:rFonts w:ascii="仿宋_GB2312" w:eastAsia="仿宋_GB2312" w:hAnsi="仿宋_GB2312" w:cs="仿宋_GB2312"/>
          <w:color w:val="000000" w:themeColor="text1"/>
          <w:sz w:val="24"/>
          <w:szCs w:val="44"/>
        </w:rPr>
      </w:pPr>
      <w:bookmarkStart w:id="2670" w:name="_Toc814"/>
      <w:bookmarkStart w:id="2671" w:name="_Toc30564"/>
      <w:bookmarkStart w:id="2672" w:name="_Toc519781029"/>
      <w:bookmarkStart w:id="2673" w:name="_Toc11344"/>
      <w:bookmarkStart w:id="2674" w:name="_Toc23727"/>
      <w:bookmarkStart w:id="2675" w:name="_Toc19069"/>
      <w:bookmarkStart w:id="2676" w:name="_Toc30064"/>
      <w:bookmarkStart w:id="2677" w:name="_Toc19108"/>
      <w:bookmarkStart w:id="2678" w:name="_Toc11832"/>
      <w:r>
        <w:rPr>
          <w:rFonts w:ascii="仿宋_GB2312" w:eastAsia="仿宋_GB2312" w:hAnsi="仿宋_GB2312" w:cs="仿宋_GB2312"/>
          <w:b/>
          <w:bCs/>
          <w:color w:val="000000" w:themeColor="text1"/>
          <w:sz w:val="24"/>
          <w:szCs w:val="44"/>
        </w:rPr>
        <w:t>8.3.4.1</w:t>
      </w:r>
      <w:r>
        <w:rPr>
          <w:rFonts w:ascii="仿宋_GB2312" w:eastAsia="仿宋_GB2312" w:hAnsi="仿宋_GB2312" w:cs="仿宋_GB2312"/>
          <w:color w:val="000000" w:themeColor="text1"/>
          <w:sz w:val="24"/>
          <w:szCs w:val="44"/>
        </w:rPr>
        <w:t>开支范围。在市内外出公务或加班不能在本单位或家里就餐，而必须在</w:t>
      </w:r>
      <w:r>
        <w:rPr>
          <w:rFonts w:ascii="仿宋_GB2312" w:eastAsia="仿宋_GB2312" w:hAnsi="仿宋_GB2312" w:cs="仿宋_GB2312" w:hint="eastAsia"/>
          <w:color w:val="000000" w:themeColor="text1"/>
          <w:sz w:val="24"/>
          <w:szCs w:val="44"/>
        </w:rPr>
        <w:t>外就餐的；因工作需要，夜班加班工作至二十二时以后的。</w:t>
      </w:r>
      <w:bookmarkEnd w:id="2670"/>
      <w:bookmarkEnd w:id="2671"/>
      <w:bookmarkEnd w:id="2672"/>
      <w:bookmarkEnd w:id="2673"/>
      <w:bookmarkEnd w:id="2674"/>
      <w:bookmarkEnd w:id="2675"/>
      <w:bookmarkEnd w:id="2676"/>
      <w:bookmarkEnd w:id="2677"/>
      <w:bookmarkEnd w:id="2678"/>
    </w:p>
    <w:p w:rsidR="00E37845" w:rsidRDefault="00E22BDD">
      <w:pPr>
        <w:spacing w:before="10" w:after="10" w:line="360" w:lineRule="auto"/>
        <w:ind w:firstLineChars="200" w:firstLine="482"/>
        <w:jc w:val="left"/>
        <w:rPr>
          <w:rFonts w:ascii="仿宋_GB2312" w:eastAsia="仿宋_GB2312" w:hAnsi="仿宋_GB2312" w:cs="仿宋_GB2312"/>
          <w:color w:val="000000" w:themeColor="text1"/>
          <w:sz w:val="24"/>
          <w:szCs w:val="44"/>
        </w:rPr>
      </w:pPr>
      <w:bookmarkStart w:id="2679" w:name="_Toc2453"/>
      <w:bookmarkStart w:id="2680" w:name="_Toc2192"/>
      <w:bookmarkStart w:id="2681" w:name="_Toc26016"/>
      <w:bookmarkStart w:id="2682" w:name="_Toc7767"/>
      <w:bookmarkStart w:id="2683" w:name="_Toc2550"/>
      <w:bookmarkStart w:id="2684" w:name="_Toc519781030"/>
      <w:bookmarkStart w:id="2685" w:name="_Toc2425"/>
      <w:bookmarkStart w:id="2686" w:name="_Toc2660"/>
      <w:bookmarkStart w:id="2687" w:name="_Toc20829"/>
      <w:r>
        <w:rPr>
          <w:rFonts w:ascii="仿宋_GB2312" w:eastAsia="仿宋_GB2312" w:hAnsi="仿宋_GB2312" w:cs="仿宋_GB2312"/>
          <w:b/>
          <w:bCs/>
          <w:color w:val="000000" w:themeColor="text1"/>
          <w:sz w:val="24"/>
          <w:szCs w:val="44"/>
        </w:rPr>
        <w:t>8.3.4.2开支标准限额（元/餐）</w:t>
      </w:r>
      <w:bookmarkEnd w:id="2679"/>
      <w:bookmarkEnd w:id="2680"/>
      <w:bookmarkEnd w:id="2681"/>
      <w:bookmarkEnd w:id="2682"/>
      <w:bookmarkEnd w:id="2683"/>
      <w:bookmarkEnd w:id="2684"/>
      <w:bookmarkEnd w:id="2685"/>
      <w:bookmarkEnd w:id="2686"/>
      <w:bookmarkEnd w:id="2687"/>
    </w:p>
    <w:tbl>
      <w:tblPr>
        <w:tblW w:w="914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5"/>
        <w:gridCol w:w="2411"/>
        <w:gridCol w:w="2316"/>
        <w:gridCol w:w="2588"/>
      </w:tblGrid>
      <w:tr w:rsidR="00E37845">
        <w:trPr>
          <w:trHeight w:val="618"/>
        </w:trPr>
        <w:tc>
          <w:tcPr>
            <w:tcW w:w="1825"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beforeLines="50" w:before="156" w:line="360" w:lineRule="auto"/>
              <w:ind w:firstLineChars="200" w:firstLine="482"/>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餐别</w:t>
            </w:r>
          </w:p>
        </w:tc>
        <w:tc>
          <w:tcPr>
            <w:tcW w:w="2411"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line="360" w:lineRule="auto"/>
              <w:ind w:firstLineChars="200" w:firstLine="482"/>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午餐、晚餐</w:t>
            </w:r>
          </w:p>
        </w:tc>
        <w:tc>
          <w:tcPr>
            <w:tcW w:w="2316"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line="360" w:lineRule="auto"/>
              <w:ind w:firstLineChars="200" w:firstLine="482"/>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早餐</w:t>
            </w:r>
          </w:p>
        </w:tc>
        <w:tc>
          <w:tcPr>
            <w:tcW w:w="2588"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beforeLines="50" w:before="156" w:line="360" w:lineRule="auto"/>
              <w:jc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sz w:val="24"/>
                <w:szCs w:val="24"/>
              </w:rPr>
              <w:t>夜餐（</w:t>
            </w:r>
            <w:r>
              <w:rPr>
                <w:rFonts w:ascii="仿宋_GB2312" w:eastAsia="仿宋_GB2312" w:hAnsi="仿宋_GB2312" w:cs="仿宋_GB2312"/>
                <w:b/>
                <w:bCs/>
                <w:color w:val="000000" w:themeColor="text1"/>
                <w:sz w:val="24"/>
                <w:szCs w:val="24"/>
              </w:rPr>
              <w:t>22点后）</w:t>
            </w:r>
          </w:p>
        </w:tc>
      </w:tr>
      <w:tr w:rsidR="00E37845">
        <w:trPr>
          <w:trHeight w:val="642"/>
        </w:trPr>
        <w:tc>
          <w:tcPr>
            <w:tcW w:w="1825" w:type="dxa"/>
            <w:tcBorders>
              <w:top w:val="single" w:sz="4" w:space="0" w:color="auto"/>
              <w:left w:val="single" w:sz="4" w:space="0" w:color="auto"/>
              <w:bottom w:val="single" w:sz="4" w:space="0" w:color="auto"/>
              <w:right w:val="single" w:sz="4" w:space="0" w:color="auto"/>
            </w:tcBorders>
            <w:vAlign w:val="center"/>
          </w:tcPr>
          <w:p w:rsidR="00E37845" w:rsidRDefault="00E22BDD">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标准</w:t>
            </w:r>
          </w:p>
        </w:tc>
        <w:tc>
          <w:tcPr>
            <w:tcW w:w="2411"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40</w:t>
            </w:r>
          </w:p>
        </w:tc>
        <w:tc>
          <w:tcPr>
            <w:tcW w:w="2316"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25</w:t>
            </w:r>
          </w:p>
        </w:tc>
        <w:tc>
          <w:tcPr>
            <w:tcW w:w="2588" w:type="dxa"/>
            <w:tcBorders>
              <w:top w:val="single" w:sz="4" w:space="0" w:color="auto"/>
              <w:left w:val="nil"/>
              <w:bottom w:val="single" w:sz="4" w:space="0" w:color="auto"/>
              <w:right w:val="single" w:sz="4" w:space="0" w:color="auto"/>
            </w:tcBorders>
            <w:vAlign w:val="center"/>
          </w:tcPr>
          <w:p w:rsidR="00E37845" w:rsidRDefault="00E22BDD">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25</w:t>
            </w:r>
          </w:p>
        </w:tc>
      </w:tr>
    </w:tbl>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688" w:name="_Toc13747"/>
      <w:bookmarkStart w:id="2689" w:name="_Toc27037"/>
      <w:bookmarkStart w:id="2690" w:name="_Toc27993"/>
      <w:bookmarkStart w:id="2691" w:name="_Toc3192"/>
      <w:bookmarkStart w:id="2692" w:name="_Toc25731"/>
      <w:bookmarkStart w:id="2693" w:name="_Toc12376"/>
      <w:bookmarkStart w:id="2694" w:name="_Toc25915"/>
      <w:bookmarkStart w:id="2695" w:name="_Toc8680"/>
      <w:bookmarkStart w:id="2696" w:name="_Toc519781031"/>
      <w:bookmarkStart w:id="2697" w:name="_Toc15822"/>
      <w:bookmarkStart w:id="2698" w:name="_Toc26492"/>
      <w:bookmarkStart w:id="2699" w:name="_Toc32573"/>
      <w:bookmarkStart w:id="2700" w:name="_Toc29582"/>
      <w:bookmarkStart w:id="2701" w:name="_Toc10750"/>
      <w:bookmarkStart w:id="2702" w:name="_Toc21792"/>
      <w:bookmarkStart w:id="2703" w:name="_Toc9816"/>
      <w:bookmarkStart w:id="2704" w:name="_Toc28605"/>
      <w:bookmarkStart w:id="2705" w:name="_Toc22729"/>
      <w:bookmarkStart w:id="2706" w:name="_Toc27611"/>
      <w:bookmarkStart w:id="2707" w:name="_Toc8489"/>
      <w:bookmarkStart w:id="2708" w:name="_Toc22860"/>
      <w:bookmarkStart w:id="2709" w:name="_Toc7964"/>
      <w:bookmarkStart w:id="2710" w:name="_Toc10253"/>
      <w:bookmarkStart w:id="2711" w:name="_Toc32456"/>
      <w:bookmarkStart w:id="2712" w:name="_Toc11005"/>
      <w:bookmarkStart w:id="2713" w:name="_Toc14810"/>
      <w:r>
        <w:rPr>
          <w:rFonts w:ascii="黑体" w:eastAsia="黑体" w:hAnsi="黑体" w:cs="黑体" w:hint="eastAsia"/>
          <w:color w:val="000000" w:themeColor="text1"/>
          <w:sz w:val="28"/>
          <w:szCs w:val="28"/>
        </w:rPr>
        <w:t>8.4公务卡办理使用</w:t>
      </w:r>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714" w:name="_Toc23460"/>
      <w:bookmarkStart w:id="2715" w:name="_Toc31738"/>
      <w:bookmarkStart w:id="2716" w:name="_Toc18018"/>
      <w:bookmarkStart w:id="2717" w:name="_Toc4254"/>
      <w:bookmarkStart w:id="2718" w:name="_Toc7524"/>
      <w:bookmarkStart w:id="2719" w:name="_Toc4536"/>
      <w:bookmarkStart w:id="2720" w:name="_Toc18264"/>
      <w:bookmarkStart w:id="2721" w:name="_Toc23290"/>
      <w:bookmarkStart w:id="2722" w:name="_Toc9200"/>
      <w:bookmarkStart w:id="2723" w:name="_Toc26200"/>
      <w:bookmarkStart w:id="2724" w:name="_Toc14905"/>
      <w:bookmarkStart w:id="2725" w:name="_Toc23088"/>
      <w:bookmarkStart w:id="2726" w:name="_Toc15675"/>
      <w:bookmarkStart w:id="2727" w:name="_Toc14006"/>
      <w:bookmarkStart w:id="2728" w:name="_Toc15085"/>
      <w:bookmarkStart w:id="2729" w:name="_Toc7902"/>
      <w:bookmarkStart w:id="2730" w:name="_Toc32264"/>
      <w:r>
        <w:rPr>
          <w:rFonts w:ascii="黑体" w:eastAsia="黑体" w:hAnsi="黑体" w:cs="黑体" w:hint="eastAsia"/>
          <w:color w:val="000000" w:themeColor="text1"/>
          <w:sz w:val="28"/>
          <w:szCs w:val="28"/>
        </w:rPr>
        <w:t>8.4.1公务卡办理</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p>
    <w:p w:rsidR="00E37845" w:rsidRDefault="00E22BDD">
      <w:pPr>
        <w:spacing w:line="360" w:lineRule="auto"/>
        <w:ind w:firstLineChars="200" w:firstLine="480"/>
        <w:rPr>
          <w:rFonts w:ascii="仿宋_GB2312" w:eastAsia="仿宋_GB2312" w:hAnsi="仿宋_GB2312" w:cs="仿宋_GB2312"/>
          <w:sz w:val="24"/>
          <w:szCs w:val="44"/>
        </w:rPr>
      </w:pPr>
      <w:r>
        <w:rPr>
          <w:rFonts w:ascii="仿宋_GB2312" w:eastAsia="仿宋_GB2312" w:hAnsi="仿宋_GB2312" w:cs="仿宋_GB2312"/>
          <w:sz w:val="24"/>
          <w:szCs w:val="44"/>
        </w:rPr>
        <w:t>教职工新入职、调动或退休时，应及时办理公务卡的申领或</w:t>
      </w:r>
      <w:r>
        <w:rPr>
          <w:rFonts w:ascii="仿宋_GB2312" w:eastAsia="仿宋_GB2312" w:hAnsi="仿宋_GB2312" w:cs="仿宋_GB2312" w:hint="eastAsia"/>
          <w:sz w:val="24"/>
          <w:szCs w:val="44"/>
        </w:rPr>
        <w:t>停用等手续，并通知发卡行及时维护公务卡支持系统。新入职教职工到人事处开具在职证明，本人持在职证明到财务处预算科填表盖章后再到发卡行（工商银行）申办公务卡，办卡成功后提交公务卡正面复印件到财务处预算科；调离或退休教职工可直接到发卡行办理公务卡注销手续，持调离或退休手续及公务卡注销手续到财务处审核盖章。</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731" w:name="_Toc16327"/>
      <w:bookmarkStart w:id="2732" w:name="_Toc20989"/>
      <w:bookmarkStart w:id="2733" w:name="_Toc1795"/>
      <w:bookmarkStart w:id="2734" w:name="_Toc4949"/>
      <w:bookmarkStart w:id="2735" w:name="_Toc17809"/>
      <w:bookmarkStart w:id="2736" w:name="_Toc8002"/>
      <w:bookmarkStart w:id="2737" w:name="_Toc1603"/>
      <w:bookmarkStart w:id="2738" w:name="_Toc19116"/>
      <w:bookmarkStart w:id="2739" w:name="_Toc30418"/>
      <w:bookmarkStart w:id="2740" w:name="_Toc15306"/>
      <w:bookmarkStart w:id="2741" w:name="_Toc23197"/>
      <w:bookmarkStart w:id="2742" w:name="_Toc16719"/>
      <w:bookmarkStart w:id="2743" w:name="_Toc12297"/>
      <w:bookmarkStart w:id="2744" w:name="_Toc31450"/>
      <w:bookmarkStart w:id="2745" w:name="_Toc29263"/>
      <w:bookmarkStart w:id="2746" w:name="_Toc7600"/>
      <w:bookmarkStart w:id="2747" w:name="_Toc31167"/>
      <w:bookmarkStart w:id="2748" w:name="_Toc31917"/>
      <w:bookmarkStart w:id="2749" w:name="_Toc16045"/>
      <w:bookmarkStart w:id="2750" w:name="_Toc519781032"/>
      <w:bookmarkStart w:id="2751" w:name="_Toc18884"/>
      <w:bookmarkStart w:id="2752" w:name="_Toc7333"/>
      <w:bookmarkStart w:id="2753" w:name="_Toc3170"/>
      <w:bookmarkStart w:id="2754" w:name="_Toc15347"/>
      <w:r>
        <w:rPr>
          <w:rFonts w:ascii="黑体" w:eastAsia="黑体" w:hAnsi="黑体" w:cs="黑体" w:hint="eastAsia"/>
          <w:color w:val="000000" w:themeColor="text1"/>
          <w:sz w:val="28"/>
          <w:szCs w:val="28"/>
        </w:rPr>
        <w:lastRenderedPageBreak/>
        <w:t>8.4.2公务卡结算</w:t>
      </w:r>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p>
    <w:p w:rsidR="00E37845" w:rsidRDefault="00E22BDD">
      <w:pPr>
        <w:spacing w:before="10" w:after="10" w:line="360" w:lineRule="auto"/>
        <w:ind w:firstLineChars="200" w:firstLine="480"/>
        <w:jc w:val="left"/>
        <w:rPr>
          <w:rFonts w:ascii="仿宋_GB2312" w:eastAsia="仿宋_GB2312" w:hAnsi="仿宋_GB2312" w:cs="仿宋_GB2312"/>
          <w:color w:val="000000" w:themeColor="text1"/>
          <w:sz w:val="24"/>
          <w:szCs w:val="44"/>
        </w:rPr>
      </w:pPr>
      <w:r>
        <w:rPr>
          <w:rFonts w:ascii="仿宋_GB2312" w:eastAsia="仿宋_GB2312" w:hAnsi="仿宋_GB2312" w:cs="仿宋_GB2312"/>
          <w:color w:val="000000" w:themeColor="text1"/>
          <w:sz w:val="24"/>
          <w:szCs w:val="44"/>
        </w:rPr>
        <w:t>指持有公务卡的教职工在公务（公务卡强制结算目录中公务）</w:t>
      </w:r>
      <w:r>
        <w:rPr>
          <w:rFonts w:ascii="仿宋_GB2312" w:eastAsia="仿宋_GB2312" w:hAnsi="仿宋_GB2312" w:cs="仿宋_GB2312" w:hint="eastAsia"/>
          <w:color w:val="000000" w:themeColor="text1"/>
          <w:sz w:val="24"/>
          <w:szCs w:val="44"/>
        </w:rPr>
        <w:t>活动中使用公务卡刷卡消费，在规定的期限内（刷卡次月的</w:t>
      </w:r>
      <w:r>
        <w:rPr>
          <w:rFonts w:ascii="仿宋_GB2312" w:eastAsia="仿宋_GB2312" w:hAnsi="仿宋_GB2312" w:cs="仿宋_GB2312"/>
          <w:color w:val="000000" w:themeColor="text1"/>
          <w:sz w:val="24"/>
          <w:szCs w:val="44"/>
        </w:rPr>
        <w:t>25日前）按照现行财务管理制度审核后报销还款的结算方式。</w:t>
      </w:r>
      <w:bookmarkEnd w:id="2748"/>
      <w:bookmarkEnd w:id="2749"/>
      <w:bookmarkEnd w:id="2750"/>
      <w:bookmarkEnd w:id="2751"/>
      <w:bookmarkEnd w:id="2752"/>
      <w:bookmarkEnd w:id="2753"/>
      <w:bookmarkEnd w:id="2754"/>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755" w:name="_Toc24786"/>
      <w:bookmarkStart w:id="2756" w:name="_Toc4783"/>
      <w:bookmarkStart w:id="2757" w:name="_Toc31914"/>
      <w:bookmarkStart w:id="2758" w:name="_Toc15357"/>
      <w:bookmarkStart w:id="2759" w:name="_Toc15818"/>
      <w:bookmarkStart w:id="2760" w:name="_Toc9681"/>
      <w:bookmarkStart w:id="2761" w:name="_Toc8998"/>
      <w:bookmarkStart w:id="2762" w:name="_Toc1391"/>
      <w:bookmarkStart w:id="2763" w:name="_Toc22559"/>
      <w:bookmarkStart w:id="2764" w:name="_Toc26219"/>
      <w:bookmarkStart w:id="2765" w:name="_Toc604"/>
      <w:bookmarkStart w:id="2766" w:name="_Toc3201"/>
      <w:bookmarkStart w:id="2767" w:name="_Toc18781"/>
      <w:bookmarkStart w:id="2768" w:name="_Toc18691"/>
      <w:bookmarkStart w:id="2769" w:name="_Toc6980"/>
      <w:bookmarkStart w:id="2770" w:name="_Toc4246"/>
      <w:bookmarkStart w:id="2771" w:name="_Toc10491"/>
      <w:bookmarkStart w:id="2772" w:name="_Toc519781033"/>
      <w:bookmarkStart w:id="2773" w:name="_Toc16928"/>
      <w:bookmarkStart w:id="2774" w:name="_Toc19554"/>
      <w:bookmarkStart w:id="2775" w:name="_Toc18715"/>
      <w:bookmarkStart w:id="2776" w:name="_Toc24798"/>
      <w:bookmarkStart w:id="2777" w:name="_Toc22023"/>
      <w:bookmarkStart w:id="2778" w:name="_Toc19303"/>
      <w:bookmarkStart w:id="2779" w:name="_Toc4359"/>
      <w:bookmarkStart w:id="2780" w:name="_Toc6083"/>
      <w:r>
        <w:rPr>
          <w:rFonts w:ascii="黑体" w:eastAsia="黑体" w:hAnsi="黑体" w:cs="黑体" w:hint="eastAsia"/>
          <w:color w:val="000000" w:themeColor="text1"/>
          <w:sz w:val="28"/>
          <w:szCs w:val="28"/>
        </w:rPr>
        <w:t>8.5资产管理</w:t>
      </w:r>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781" w:name="_Toc10762"/>
      <w:bookmarkStart w:id="2782" w:name="_Toc14936"/>
      <w:bookmarkStart w:id="2783" w:name="_Toc28139"/>
      <w:bookmarkStart w:id="2784" w:name="_Toc12228"/>
      <w:bookmarkStart w:id="2785" w:name="_Toc9702"/>
      <w:bookmarkStart w:id="2786" w:name="_Toc5411"/>
      <w:bookmarkStart w:id="2787" w:name="_Toc8404"/>
      <w:bookmarkStart w:id="2788" w:name="_Toc19103"/>
      <w:bookmarkStart w:id="2789" w:name="_Toc19559"/>
      <w:bookmarkStart w:id="2790" w:name="_Toc26143"/>
      <w:bookmarkStart w:id="2791" w:name="_Toc2216"/>
      <w:bookmarkStart w:id="2792" w:name="_Toc1004"/>
      <w:bookmarkStart w:id="2793" w:name="_Toc26722"/>
      <w:bookmarkStart w:id="2794" w:name="_Toc23963"/>
      <w:bookmarkStart w:id="2795" w:name="_Toc25946"/>
      <w:bookmarkStart w:id="2796" w:name="_Toc31485"/>
      <w:bookmarkStart w:id="2797" w:name="_Toc6515"/>
      <w:bookmarkStart w:id="2798" w:name="_Toc1035"/>
      <w:bookmarkStart w:id="2799" w:name="_Toc21371"/>
      <w:bookmarkStart w:id="2800" w:name="_Toc519781034"/>
      <w:bookmarkStart w:id="2801" w:name="_Toc18351"/>
      <w:bookmarkStart w:id="2802" w:name="_Toc23856"/>
      <w:bookmarkStart w:id="2803" w:name="_Toc1134"/>
      <w:bookmarkStart w:id="2804" w:name="_Toc11318"/>
      <w:r>
        <w:rPr>
          <w:rFonts w:ascii="黑体" w:eastAsia="黑体" w:hAnsi="黑体" w:cs="黑体" w:hint="eastAsia"/>
          <w:color w:val="000000" w:themeColor="text1"/>
          <w:sz w:val="28"/>
          <w:szCs w:val="28"/>
        </w:rPr>
        <w:t>8.5.1固定资产</w:t>
      </w:r>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p>
    <w:p w:rsidR="00E37845" w:rsidRDefault="00E22BDD">
      <w:pPr>
        <w:spacing w:before="10" w:after="10" w:line="360" w:lineRule="auto"/>
        <w:ind w:firstLineChars="200" w:firstLine="480"/>
        <w:jc w:val="left"/>
        <w:rPr>
          <w:rFonts w:ascii="仿宋_GB2312" w:eastAsia="仿宋_GB2312" w:hAnsi="仿宋_GB2312" w:cs="仿宋_GB2312"/>
          <w:color w:val="000000" w:themeColor="text1"/>
          <w:sz w:val="24"/>
          <w:szCs w:val="44"/>
        </w:rPr>
      </w:pPr>
      <w:r>
        <w:rPr>
          <w:rFonts w:ascii="仿宋_GB2312" w:eastAsia="仿宋_GB2312" w:hAnsi="仿宋_GB2312" w:cs="仿宋_GB2312"/>
          <w:color w:val="000000" w:themeColor="text1"/>
          <w:sz w:val="24"/>
          <w:szCs w:val="44"/>
        </w:rPr>
        <w:t>资产使用部门在广州大学资产管理系统中录入固定资产相关信</w:t>
      </w:r>
      <w:r>
        <w:rPr>
          <w:rFonts w:ascii="仿宋_GB2312" w:eastAsia="仿宋_GB2312" w:hAnsi="仿宋_GB2312" w:cs="仿宋_GB2312" w:hint="eastAsia"/>
          <w:color w:val="000000" w:themeColor="text1"/>
          <w:sz w:val="24"/>
          <w:szCs w:val="44"/>
        </w:rPr>
        <w:t>息，扫描发票备案；资产归口管理部门（后勤服务处、实验室与设备管理处、图书馆等）对资产使用部门提交的资产录入信息进行审核并打印验收单；资产使用部门凭验收单进行审核、盖章确认后，走“网上预约报账流程”。</w:t>
      </w:r>
      <w:bookmarkEnd w:id="2798"/>
      <w:bookmarkEnd w:id="2799"/>
      <w:bookmarkEnd w:id="2800"/>
      <w:bookmarkEnd w:id="2801"/>
      <w:bookmarkEnd w:id="2802"/>
      <w:bookmarkEnd w:id="2803"/>
      <w:bookmarkEnd w:id="2804"/>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805" w:name="_Toc31184"/>
      <w:bookmarkStart w:id="2806" w:name="_Toc14428"/>
      <w:bookmarkStart w:id="2807" w:name="_Toc13492"/>
      <w:bookmarkStart w:id="2808" w:name="_Toc69"/>
      <w:bookmarkStart w:id="2809" w:name="_Toc16546"/>
      <w:bookmarkStart w:id="2810" w:name="_Toc2309"/>
      <w:bookmarkStart w:id="2811" w:name="_Toc13051"/>
      <w:bookmarkStart w:id="2812" w:name="_Toc12095"/>
      <w:bookmarkStart w:id="2813" w:name="_Toc12535"/>
      <w:bookmarkStart w:id="2814" w:name="_Toc20207"/>
      <w:bookmarkStart w:id="2815" w:name="_Toc3875"/>
      <w:bookmarkStart w:id="2816" w:name="_Toc12238"/>
      <w:bookmarkStart w:id="2817" w:name="_Toc831"/>
      <w:bookmarkStart w:id="2818" w:name="_Toc18821"/>
      <w:bookmarkStart w:id="2819" w:name="_Toc22284"/>
      <w:bookmarkStart w:id="2820" w:name="_Toc32413"/>
      <w:bookmarkStart w:id="2821" w:name="_Toc8245"/>
      <w:bookmarkStart w:id="2822" w:name="_Toc28546"/>
      <w:bookmarkStart w:id="2823" w:name="_Toc519781035"/>
      <w:bookmarkStart w:id="2824" w:name="_Toc1349"/>
      <w:bookmarkStart w:id="2825" w:name="_Toc14172"/>
      <w:bookmarkStart w:id="2826" w:name="_Toc17774"/>
      <w:bookmarkStart w:id="2827" w:name="_Toc24486"/>
      <w:bookmarkStart w:id="2828" w:name="_Toc1410"/>
      <w:r>
        <w:rPr>
          <w:rFonts w:ascii="黑体" w:eastAsia="黑体" w:hAnsi="黑体" w:cs="黑体" w:hint="eastAsia"/>
          <w:color w:val="000000" w:themeColor="text1"/>
          <w:sz w:val="28"/>
          <w:szCs w:val="28"/>
        </w:rPr>
        <w:t>8.5.2材料和低值品、易耗品</w:t>
      </w:r>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p>
    <w:p w:rsidR="00E37845" w:rsidRDefault="00E22BDD">
      <w:pPr>
        <w:spacing w:before="10" w:after="10" w:line="360" w:lineRule="auto"/>
        <w:ind w:firstLineChars="200" w:firstLine="480"/>
        <w:jc w:val="left"/>
        <w:rPr>
          <w:rFonts w:ascii="仿宋_GB2312" w:eastAsia="仿宋_GB2312" w:hAnsi="仿宋_GB2312" w:cs="仿宋_GB2312"/>
          <w:color w:val="000000" w:themeColor="text1"/>
          <w:sz w:val="24"/>
          <w:szCs w:val="44"/>
        </w:rPr>
      </w:pPr>
      <w:r>
        <w:rPr>
          <w:rFonts w:ascii="仿宋_GB2312" w:eastAsia="仿宋_GB2312" w:hAnsi="仿宋_GB2312" w:cs="仿宋_GB2312"/>
          <w:color w:val="000000" w:themeColor="text1"/>
          <w:sz w:val="24"/>
          <w:szCs w:val="44"/>
        </w:rPr>
        <w:t>资产使用部门在广州大学资产管理系统中录入材</w:t>
      </w:r>
      <w:r>
        <w:rPr>
          <w:rFonts w:ascii="仿宋_GB2312" w:eastAsia="仿宋_GB2312" w:hAnsi="仿宋_GB2312" w:cs="仿宋_GB2312" w:hint="eastAsia"/>
          <w:color w:val="000000" w:themeColor="text1"/>
          <w:sz w:val="24"/>
          <w:szCs w:val="44"/>
        </w:rPr>
        <w:t>料和低值品、易耗品信息，扫描发票备案，办理验收、领用手续后，走“网上预约报账流程”。</w:t>
      </w:r>
      <w:bookmarkEnd w:id="2822"/>
      <w:bookmarkEnd w:id="2823"/>
      <w:bookmarkEnd w:id="2824"/>
      <w:bookmarkEnd w:id="2825"/>
      <w:bookmarkEnd w:id="2826"/>
      <w:bookmarkEnd w:id="2827"/>
      <w:bookmarkEnd w:id="2828"/>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829" w:name="_Toc8045"/>
      <w:bookmarkStart w:id="2830" w:name="_Toc16395"/>
      <w:bookmarkStart w:id="2831" w:name="_Toc519781036"/>
      <w:bookmarkStart w:id="2832" w:name="_Toc23090"/>
      <w:bookmarkStart w:id="2833" w:name="_Toc19187"/>
      <w:bookmarkStart w:id="2834" w:name="_Toc9746"/>
      <w:bookmarkStart w:id="2835" w:name="_Toc10525"/>
      <w:bookmarkStart w:id="2836" w:name="_Toc23435"/>
      <w:bookmarkStart w:id="2837" w:name="_Toc19911"/>
      <w:bookmarkStart w:id="2838" w:name="_Toc24007"/>
      <w:bookmarkStart w:id="2839" w:name="_Toc3143"/>
      <w:bookmarkStart w:id="2840" w:name="_Toc11369"/>
      <w:bookmarkStart w:id="2841" w:name="_Toc13593"/>
      <w:bookmarkStart w:id="2842" w:name="_Toc23522"/>
      <w:bookmarkStart w:id="2843" w:name="_Toc28261"/>
      <w:bookmarkStart w:id="2844" w:name="_Toc28446"/>
      <w:bookmarkStart w:id="2845" w:name="_Toc10178"/>
      <w:bookmarkStart w:id="2846" w:name="_Toc20175"/>
      <w:bookmarkStart w:id="2847" w:name="_Toc11001"/>
      <w:bookmarkStart w:id="2848" w:name="_Toc8459"/>
      <w:bookmarkStart w:id="2849" w:name="_Toc27230"/>
      <w:bookmarkStart w:id="2850" w:name="_Toc2043"/>
      <w:bookmarkStart w:id="2851" w:name="_Toc16038"/>
      <w:bookmarkStart w:id="2852" w:name="_Toc31691"/>
      <w:bookmarkStart w:id="2853" w:name="_Toc30719"/>
      <w:bookmarkStart w:id="2854" w:name="_Toc5037"/>
      <w:r>
        <w:rPr>
          <w:rFonts w:ascii="黑体" w:eastAsia="黑体" w:hAnsi="黑体" w:cs="黑体" w:hint="eastAsia"/>
          <w:color w:val="000000" w:themeColor="text1"/>
          <w:sz w:val="28"/>
          <w:szCs w:val="28"/>
        </w:rPr>
        <w:t>8.6合同管理流程</w:t>
      </w:r>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855" w:name="_Toc13997"/>
      <w:bookmarkStart w:id="2856" w:name="_Toc5340"/>
      <w:bookmarkStart w:id="2857" w:name="_Toc32564"/>
      <w:bookmarkStart w:id="2858" w:name="_Toc8574"/>
      <w:bookmarkStart w:id="2859" w:name="_Toc10384"/>
      <w:bookmarkStart w:id="2860" w:name="_Toc28216"/>
      <w:bookmarkStart w:id="2861" w:name="_Toc14329"/>
      <w:bookmarkStart w:id="2862" w:name="_Toc1230"/>
      <w:bookmarkStart w:id="2863" w:name="_Toc3749"/>
      <w:bookmarkStart w:id="2864" w:name="_Toc30295"/>
      <w:bookmarkStart w:id="2865" w:name="_Toc31608"/>
      <w:bookmarkStart w:id="2866" w:name="_Toc11095"/>
      <w:bookmarkStart w:id="2867" w:name="_Toc18036"/>
      <w:bookmarkStart w:id="2868" w:name="_Toc32052"/>
      <w:bookmarkStart w:id="2869" w:name="_Toc12851"/>
      <w:bookmarkStart w:id="2870" w:name="_Toc25787"/>
      <w:bookmarkStart w:id="2871" w:name="_Toc24703"/>
      <w:bookmarkStart w:id="2872" w:name="_Toc519781037"/>
      <w:bookmarkStart w:id="2873" w:name="_Toc19396"/>
      <w:bookmarkStart w:id="2874" w:name="_Toc14924"/>
      <w:bookmarkStart w:id="2875" w:name="_Toc25279"/>
      <w:bookmarkStart w:id="2876" w:name="_Toc14950"/>
      <w:bookmarkStart w:id="2877" w:name="_Toc22106"/>
      <w:bookmarkStart w:id="2878" w:name="_Toc12263"/>
      <w:r>
        <w:rPr>
          <w:rFonts w:ascii="黑体" w:eastAsia="黑体" w:hAnsi="黑体" w:cs="黑体" w:hint="eastAsia"/>
          <w:color w:val="000000" w:themeColor="text1"/>
          <w:sz w:val="28"/>
          <w:szCs w:val="28"/>
        </w:rPr>
        <w:t>8.6.1合同订立起点</w:t>
      </w:r>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p>
    <w:p w:rsidR="00E37845" w:rsidRDefault="00E22BDD">
      <w:pPr>
        <w:spacing w:before="10" w:after="10" w:line="360" w:lineRule="auto"/>
        <w:ind w:firstLineChars="200" w:firstLine="480"/>
        <w:jc w:val="left"/>
        <w:rPr>
          <w:rFonts w:ascii="仿宋_GB2312" w:eastAsia="仿宋_GB2312" w:hAnsi="仿宋_GB2312" w:cs="仿宋_GB2312"/>
          <w:color w:val="000000" w:themeColor="text1"/>
          <w:sz w:val="24"/>
          <w:szCs w:val="44"/>
        </w:rPr>
      </w:pPr>
      <w:r>
        <w:rPr>
          <w:rFonts w:ascii="仿宋_GB2312" w:eastAsia="仿宋_GB2312" w:hAnsi="仿宋_GB2312" w:cs="仿宋_GB2312"/>
          <w:color w:val="000000" w:themeColor="text1"/>
          <w:sz w:val="24"/>
          <w:szCs w:val="44"/>
        </w:rPr>
        <w:t>一般情形为金额3万元及以上的对外经济行为；但涉及国</w:t>
      </w:r>
      <w:r>
        <w:rPr>
          <w:rFonts w:ascii="仿宋_GB2312" w:eastAsia="仿宋_GB2312" w:hAnsi="仿宋_GB2312" w:cs="仿宋_GB2312" w:hint="eastAsia"/>
          <w:color w:val="000000" w:themeColor="text1"/>
          <w:sz w:val="24"/>
          <w:szCs w:val="44"/>
        </w:rPr>
        <w:t>有资产的投资、合资、合作、借贷、租赁及勘察设计等对外经济往来行为，合同订立金额零起点。</w:t>
      </w:r>
      <w:bookmarkEnd w:id="2872"/>
      <w:bookmarkEnd w:id="2873"/>
      <w:bookmarkEnd w:id="2874"/>
      <w:bookmarkEnd w:id="2875"/>
      <w:bookmarkEnd w:id="2876"/>
      <w:bookmarkEnd w:id="2877"/>
      <w:bookmarkEnd w:id="2878"/>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22BDD">
      <w:pPr>
        <w:widowControl/>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br w:type="page"/>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879" w:name="_Toc28872"/>
      <w:bookmarkStart w:id="2880" w:name="_Toc519781038"/>
      <w:bookmarkStart w:id="2881" w:name="_Toc11162"/>
      <w:bookmarkStart w:id="2882" w:name="_Toc15131"/>
      <w:bookmarkStart w:id="2883" w:name="_Toc6031"/>
      <w:bookmarkStart w:id="2884" w:name="_Toc26701"/>
      <w:bookmarkStart w:id="2885" w:name="_Toc20259"/>
      <w:bookmarkStart w:id="2886" w:name="_Toc14118"/>
      <w:bookmarkStart w:id="2887" w:name="_Toc1759"/>
      <w:bookmarkStart w:id="2888" w:name="_Toc20241"/>
      <w:bookmarkStart w:id="2889" w:name="_Toc23773"/>
      <w:bookmarkStart w:id="2890" w:name="_Toc26537"/>
      <w:bookmarkStart w:id="2891" w:name="_Toc12999"/>
      <w:bookmarkStart w:id="2892" w:name="_Toc28129"/>
      <w:bookmarkStart w:id="2893" w:name="_Toc867"/>
      <w:bookmarkStart w:id="2894" w:name="_Toc16160"/>
      <w:bookmarkStart w:id="2895" w:name="_Toc16391"/>
      <w:bookmarkStart w:id="2896" w:name="_Toc25074"/>
      <w:bookmarkStart w:id="2897" w:name="_Toc19748"/>
      <w:bookmarkStart w:id="2898" w:name="_Toc1526"/>
      <w:bookmarkStart w:id="2899" w:name="_Toc10639"/>
      <w:bookmarkStart w:id="2900" w:name="_Toc20591"/>
      <w:bookmarkStart w:id="2901" w:name="_Toc17900"/>
      <w:bookmarkStart w:id="2902" w:name="_Toc32152"/>
      <w:bookmarkStart w:id="2903" w:name="_Toc6479"/>
      <w:bookmarkStart w:id="2904" w:name="_Toc2316"/>
      <w:r>
        <w:rPr>
          <w:rFonts w:ascii="黑体" w:eastAsia="黑体" w:hAnsi="黑体" w:cs="黑体" w:hint="eastAsia"/>
          <w:color w:val="000000" w:themeColor="text1"/>
          <w:sz w:val="28"/>
          <w:szCs w:val="28"/>
        </w:rPr>
        <w:lastRenderedPageBreak/>
        <w:t>8.6.2合同管理流程</w:t>
      </w:r>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p>
    <w:p w:rsidR="00E37845" w:rsidRDefault="00E22BDD">
      <w:pPr>
        <w:adjustRightInd w:val="0"/>
        <w:snapToGrid w:val="0"/>
        <w:spacing w:line="360" w:lineRule="auto"/>
        <w:jc w:val="center"/>
        <w:rPr>
          <w:rFonts w:ascii="仿宋_GB2312" w:eastAsia="仿宋_GB2312" w:hAnsi="仿宋_GB2312" w:cs="仿宋_GB2312"/>
          <w:color w:val="000000" w:themeColor="text1"/>
          <w:sz w:val="24"/>
          <w:szCs w:val="24"/>
        </w:rPr>
      </w:pPr>
      <w:r>
        <w:rPr>
          <w:rFonts w:ascii="仿宋_GB2312" w:eastAsia="仿宋_GB2312" w:hAnsi="仿宋_GB2312" w:cs="仿宋_GB2312"/>
          <w:noProof/>
          <w:color w:val="000000" w:themeColor="text1"/>
          <w:sz w:val="24"/>
          <w:szCs w:val="24"/>
        </w:rPr>
        <w:drawing>
          <wp:inline distT="0" distB="0" distL="0" distR="0">
            <wp:extent cx="5703570" cy="7146925"/>
            <wp:effectExtent l="0" t="0" r="11430" b="15875"/>
            <wp:docPr id="83" name="图片 83" descr="C:\Users\Administrator\AppData\Local\Temp\ksohtml\wps76B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Users\Administrator\AppData\Local\Temp\ksohtml\wps76BD.tmp.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708460" cy="7152622"/>
                    </a:xfrm>
                    <a:prstGeom prst="rect">
                      <a:avLst/>
                    </a:prstGeom>
                    <a:noFill/>
                    <a:ln>
                      <a:noFill/>
                    </a:ln>
                  </pic:spPr>
                </pic:pic>
              </a:graphicData>
            </a:graphic>
          </wp:inline>
        </w:drawing>
      </w: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22BDD">
      <w:pPr>
        <w:pStyle w:val="1"/>
        <w:adjustRightInd w:val="0"/>
        <w:snapToGrid w:val="0"/>
        <w:spacing w:before="10" w:after="10" w:line="360" w:lineRule="auto"/>
        <w:ind w:firstLineChars="200" w:firstLine="602"/>
        <w:jc w:val="left"/>
        <w:rPr>
          <w:rFonts w:ascii="黑体" w:hAnsi="黑体" w:cs="黑体"/>
          <w:color w:val="000000" w:themeColor="text1"/>
          <w:sz w:val="30"/>
          <w:szCs w:val="30"/>
        </w:rPr>
      </w:pPr>
      <w:bookmarkStart w:id="2905" w:name="_Toc31112"/>
      <w:bookmarkStart w:id="2906" w:name="_Toc519781039"/>
      <w:bookmarkStart w:id="2907" w:name="_Toc24438"/>
      <w:bookmarkStart w:id="2908" w:name="_Toc5570"/>
      <w:bookmarkStart w:id="2909" w:name="_Toc167"/>
      <w:bookmarkStart w:id="2910" w:name="_Toc31073"/>
      <w:bookmarkStart w:id="2911" w:name="_Toc728"/>
      <w:bookmarkStart w:id="2912" w:name="_Toc5064"/>
      <w:bookmarkStart w:id="2913" w:name="_Toc4400"/>
      <w:bookmarkStart w:id="2914" w:name="_Toc30219"/>
      <w:bookmarkStart w:id="2915" w:name="_Toc17505"/>
      <w:bookmarkStart w:id="2916" w:name="_Toc14196"/>
      <w:bookmarkStart w:id="2917" w:name="_Toc5628"/>
      <w:bookmarkStart w:id="2918" w:name="_Toc3242"/>
      <w:bookmarkStart w:id="2919" w:name="_Toc16407"/>
      <w:bookmarkStart w:id="2920" w:name="_Toc22533"/>
      <w:bookmarkStart w:id="2921" w:name="_Toc30634"/>
      <w:bookmarkStart w:id="2922" w:name="_Toc1993"/>
      <w:bookmarkStart w:id="2923" w:name="_Toc28124"/>
      <w:bookmarkStart w:id="2924" w:name="_Toc3634"/>
      <w:r>
        <w:rPr>
          <w:rFonts w:ascii="黑体" w:hAnsi="黑体" w:cs="黑体"/>
          <w:color w:val="000000" w:themeColor="text1"/>
          <w:sz w:val="30"/>
          <w:szCs w:val="30"/>
        </w:rPr>
        <w:br w:type="page"/>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925" w:name="_Toc18040"/>
      <w:bookmarkStart w:id="2926" w:name="_Toc2587"/>
      <w:bookmarkStart w:id="2927" w:name="_Toc15081"/>
      <w:bookmarkStart w:id="2928" w:name="_Toc18962"/>
      <w:bookmarkStart w:id="2929" w:name="_Toc10583"/>
      <w:bookmarkStart w:id="2930" w:name="_Toc5193"/>
      <w:r>
        <w:rPr>
          <w:rFonts w:ascii="黑体" w:eastAsia="黑体" w:hAnsi="黑体" w:cs="黑体" w:hint="eastAsia"/>
          <w:color w:val="000000" w:themeColor="text1"/>
          <w:sz w:val="28"/>
          <w:szCs w:val="28"/>
        </w:rPr>
        <w:lastRenderedPageBreak/>
        <w:t>8.7网上预约报账流程</w:t>
      </w:r>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p>
    <w:p w:rsidR="00E37845" w:rsidRDefault="00E37845">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p>
    <w:p w:rsidR="00E37845" w:rsidRDefault="001B499F">
      <w:pPr>
        <w:adjustRightInd w:val="0"/>
        <w:snapToGrid w:val="0"/>
        <w:spacing w:line="360" w:lineRule="auto"/>
        <w:ind w:firstLineChars="200" w:firstLine="420"/>
        <w:jc w:val="center"/>
        <w:rPr>
          <w:rFonts w:ascii="仿宋_GB2312" w:eastAsia="仿宋_GB2312" w:hAnsi="仿宋_GB2312" w:cs="仿宋_GB2312"/>
          <w:color w:val="000000" w:themeColor="text1"/>
          <w:sz w:val="24"/>
          <w:szCs w:val="24"/>
        </w:rPr>
      </w:pPr>
      <w:r>
        <w:pict>
          <v:group id="组合 227" o:spid="_x0000_s1100" style="position:absolute;left:0;text-align:left;margin-left:-4.05pt;margin-top:1.2pt;width:422.85pt;height:421.45pt;z-index:-251623936" coordorigin="7915,2126" coordsize="10616,10411">
            <v:rect id="Rectangle 6" o:spid="_x0000_s1101" style="position:absolute;left:9818;top:3561;width:1676;height:866;v-text-anchor:middle" o:gfxdata="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NVgsvQAA&#10;ANsAAAAPAAAAAAAAAAEAIAAAACIAAABkcnMvZG93bnJldi54bWxQSwECFAAUAAAACACHTuJAMy8F&#10;njsAAAA5AAAAEAAAAAAAAAABACAAAAAMAQAAZHJzL3NoYXBleG1sLnhtbFBLBQYAAAAABgAGAFsB&#10;AAC2AwAAAAA=&#10;" filled="f" stroked="f">
              <v:textbox inset="5.4pt,5.4pt,5.4pt,5.4pt">
                <w:txbxContent>
                  <w:p w:rsidR="00E37845" w:rsidRDefault="00E22BDD">
                    <w:pPr>
                      <w:pStyle w:val="ad"/>
                      <w:widowControl w:val="0"/>
                      <w:spacing w:line="240" w:lineRule="exact"/>
                      <w:jc w:val="center"/>
                      <w:rPr>
                        <w:sz w:val="18"/>
                        <w:szCs w:val="18"/>
                      </w:rPr>
                    </w:pPr>
                    <w:r>
                      <w:rPr>
                        <w:rFonts w:hint="eastAsia"/>
                        <w:sz w:val="18"/>
                        <w:szCs w:val="18"/>
                      </w:rPr>
                      <w:t>登录财务</w:t>
                    </w:r>
                    <w:r>
                      <w:rPr>
                        <w:rFonts w:hAnsi="Times New Roman" w:hint="eastAsia"/>
                        <w:color w:val="000000"/>
                        <w:kern w:val="24"/>
                        <w:sz w:val="18"/>
                        <w:szCs w:val="18"/>
                      </w:rPr>
                      <w:t>管理</w:t>
                    </w:r>
                    <w:r>
                      <w:rPr>
                        <w:rFonts w:hint="eastAsia"/>
                        <w:sz w:val="18"/>
                        <w:szCs w:val="18"/>
                      </w:rPr>
                      <w:t>系统</w:t>
                    </w:r>
                  </w:p>
                </w:txbxContent>
              </v:textbox>
            </v:rect>
            <v:shape id="AutoShape 4" o:spid="_x0000_s1102" style="position:absolute;left:10165;top:4681;width:1366;height:692;rotation:90" coordsize="21600,21600" o:spt="100" o:gfxdata="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g9CvvQAA&#10;ANsAAAAPAAAAAAAAAAEAIAAAACIAAABkcnMvZG93bnJldi54bWxQSwECFAAUAAAACACHTuJAMy8F&#10;njsAAAA5AAAAEAAAAAAAAAABACAAAAAMAQAAZHJzL3NoYXBleG1sLnhtbFBLBQYAAAAABgAGAFsB&#10;AAC2AwAAAAA=&#10;" adj="0,,0" path="m16200,l10800,6788r1854,l12654,13842,,13842r,7758l19746,21600r,-14812l21600,6788,16200,xe" fillcolor="#bcd7e2" strokecolor="white">
              <v:stroke joinstyle="miter"/>
              <v:formulas/>
              <v:path o:connecttype="segments" o:connectlocs="645678,0;430452,210116;504346,210116;504346,428466;0,428466;0,668607;787010,668607;787010,210116;860904,210116;645678,0" o:connectangles="0,0,0,0,0,0,0,0,0,0"/>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10" o:spid="_x0000_s1103" type="#_x0000_t62" style="position:absolute;left:7915;top:6886;width:3638;height:1300;v-text-anchor:middle" o:gfxdata="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A+Cr4A&#10;AADbAAAADwAAAAAAAAABACAAAAAiAAAAZHJzL2Rvd25yZXYueG1sUEsBAhQAFAAAAAgAh07iQDMv&#10;BZ47AAAAOQAAABAAAAAAAAAAAQAgAAAADQEAAGRycy9zaGFwZXhtbC54bWxQSwUGAAAAAAYABgBb&#10;AQAAtwMAAAAA&#10;" adj="22396,-17845" strokecolor="#4f81bd" strokeweight="1.52778mm">
              <v:stroke linestyle="thickThin"/>
              <v:textbox>
                <w:txbxContent>
                  <w:p w:rsidR="00E37845" w:rsidRDefault="00E22BDD">
                    <w:pPr>
                      <w:pStyle w:val="ad"/>
                      <w:widowControl w:val="0"/>
                      <w:spacing w:before="0" w:beforeAutospacing="0" w:after="0" w:afterAutospacing="0" w:line="240" w:lineRule="exact"/>
                      <w:rPr>
                        <w:rFonts w:hAnsi="Times New Roman"/>
                        <w:color w:val="000000"/>
                        <w:kern w:val="24"/>
                        <w:sz w:val="18"/>
                        <w:szCs w:val="18"/>
                        <w:u w:val="wave"/>
                      </w:rPr>
                    </w:pPr>
                    <w:r>
                      <w:rPr>
                        <w:rFonts w:hAnsi="Times New Roman" w:hint="eastAsia"/>
                        <w:color w:val="000000"/>
                        <w:kern w:val="24"/>
                        <w:sz w:val="18"/>
                        <w:szCs w:val="18"/>
                      </w:rPr>
                      <w:t>a.劳务报酬、学生实习交通导盘等选择</w:t>
                    </w:r>
                    <w:r>
                      <w:rPr>
                        <w:rFonts w:hAnsi="Times New Roman" w:hint="eastAsia"/>
                        <w:color w:val="000000"/>
                        <w:kern w:val="24"/>
                        <w:sz w:val="18"/>
                        <w:szCs w:val="18"/>
                        <w:u w:val="wave"/>
                      </w:rPr>
                      <w:t>薪酬个税系统</w:t>
                    </w:r>
                  </w:p>
                  <w:p w:rsidR="00E37845" w:rsidRDefault="00E22BDD">
                    <w:pPr>
                      <w:pStyle w:val="ad"/>
                      <w:widowControl w:val="0"/>
                      <w:spacing w:before="0" w:beforeAutospacing="0" w:after="0" w:afterAutospacing="0" w:line="240" w:lineRule="exact"/>
                      <w:rPr>
                        <w:sz w:val="18"/>
                        <w:szCs w:val="18"/>
                      </w:rPr>
                    </w:pPr>
                    <w:r>
                      <w:rPr>
                        <w:rFonts w:hAnsi="Times New Roman" w:hint="eastAsia"/>
                        <w:color w:val="000000"/>
                        <w:kern w:val="24"/>
                        <w:sz w:val="18"/>
                        <w:szCs w:val="18"/>
                      </w:rPr>
                      <w:t>b.其他选择</w:t>
                    </w:r>
                    <w:r>
                      <w:rPr>
                        <w:rFonts w:hAnsi="Times New Roman" w:hint="eastAsia"/>
                        <w:color w:val="000000"/>
                        <w:kern w:val="24"/>
                        <w:sz w:val="18"/>
                        <w:szCs w:val="18"/>
                        <w:u w:val="wave"/>
                      </w:rPr>
                      <w:t>新网上报销系统</w:t>
                    </w:r>
                  </w:p>
                </w:txbxContent>
              </v:textbox>
            </v:shape>
            <v:shape id="圆角矩形标注 9" o:spid="_x0000_s1104" type="#_x0000_t62" style="position:absolute;left:13389;top:4306;width:2346;height:1260;v-text-anchor:middle" o:gfxdata="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ZRTDvQAA&#10;ANsAAAAPAAAAAAAAAAEAIAAAACIAAABkcnMvZG93bnJldi54bWxQSwECFAAUAAAACACHTuJAMy8F&#10;njsAAAA5AAAAEAAAAAAAAAABACAAAAAMAQAAZHJzL3NoYXBleG1sLnhtbFBLBQYAAAAABgAGAFsB&#10;AAC2AwAAAAA=&#10;" adj="739,32877" strokecolor="#4f81bd" strokeweight="1.52778mm">
              <v:stroke linestyle="thickThin"/>
              <v:textbox>
                <w:txbxContent>
                  <w:p w:rsidR="00E37845" w:rsidRDefault="00E22BDD">
                    <w:pPr>
                      <w:pStyle w:val="ad"/>
                      <w:widowControl w:val="0"/>
                      <w:spacing w:line="240" w:lineRule="exact"/>
                      <w:jc w:val="center"/>
                      <w:rPr>
                        <w:sz w:val="18"/>
                        <w:szCs w:val="18"/>
                      </w:rPr>
                    </w:pPr>
                    <w:r>
                      <w:rPr>
                        <w:rFonts w:hAnsi="Times New Roman"/>
                        <w:color w:val="000000"/>
                        <w:kern w:val="24"/>
                        <w:sz w:val="18"/>
                        <w:szCs w:val="18"/>
                      </w:rPr>
                      <w:t>负责人在确认单上签字。票据上根据现有规定签字</w:t>
                    </w:r>
                  </w:p>
                </w:txbxContent>
              </v:textbox>
            </v:shape>
            <v:shape id="圆角矩形标注 6" o:spid="_x0000_s1105" type="#_x0000_t62" style="position:absolute;left:11784;top:8986;width:2732;height:1630;v-text-anchor:middle" o:gfxdata="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0t3JugAAANsA&#10;AAAPAAAAAAAAAAEAIAAAACIAAABkcnMvZG93bnJldi54bWxQSwECFAAUAAAACACHTuJAMy8FnjsA&#10;AAA5AAAAEAAAAAAAAAABACAAAAAJAQAAZHJzL3NoYXBleG1sLnhtbFBLBQYAAAAABgAGAFsBAACz&#10;AwAAAAA=&#10;" adj="21376,-6491" strokecolor="#4f81bd" strokeweight="1.52778mm">
              <v:stroke linestyle="thickThin"/>
              <v:textbox>
                <w:txbxContent>
                  <w:p w:rsidR="00E37845" w:rsidRDefault="00E22BDD">
                    <w:pPr>
                      <w:pStyle w:val="ad"/>
                      <w:widowControl w:val="0"/>
                      <w:spacing w:line="240" w:lineRule="exact"/>
                      <w:rPr>
                        <w:sz w:val="18"/>
                        <w:szCs w:val="18"/>
                      </w:rPr>
                    </w:pPr>
                    <w:r>
                      <w:rPr>
                        <w:rFonts w:hAnsi="Times New Roman" w:hint="eastAsia"/>
                        <w:color w:val="000000"/>
                        <w:kern w:val="24"/>
                        <w:sz w:val="18"/>
                        <w:szCs w:val="18"/>
                      </w:rPr>
                      <w:t>经办人贴好票据后送交财务处，</w:t>
                    </w:r>
                    <w:r>
                      <w:rPr>
                        <w:rFonts w:hAnsi="Times New Roman"/>
                        <w:color w:val="000000"/>
                        <w:kern w:val="24"/>
                        <w:sz w:val="18"/>
                        <w:szCs w:val="18"/>
                      </w:rPr>
                      <w:t>财务</w:t>
                    </w:r>
                    <w:r>
                      <w:rPr>
                        <w:rFonts w:hAnsi="Times New Roman" w:hint="eastAsia"/>
                        <w:color w:val="000000"/>
                        <w:kern w:val="24"/>
                        <w:sz w:val="18"/>
                        <w:szCs w:val="18"/>
                      </w:rPr>
                      <w:t>处前台</w:t>
                    </w:r>
                    <w:r>
                      <w:rPr>
                        <w:rFonts w:hAnsi="Times New Roman"/>
                        <w:color w:val="000000"/>
                        <w:kern w:val="24"/>
                        <w:sz w:val="18"/>
                        <w:szCs w:val="18"/>
                      </w:rPr>
                      <w:t>简单检查票据、资料正确后即可收单</w:t>
                    </w:r>
                  </w:p>
                </w:txbxContent>
              </v:textbox>
            </v:shape>
            <v:shape id="圆角矩形标注 7" o:spid="_x0000_s1106" type="#_x0000_t62" style="position:absolute;left:16314;top:6705;width:2112;height:1483;v-text-anchor:middle" o:gfxdata="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ypWS/&#10;AAAA2wAAAA8AAAAAAAAAAQAgAAAAIgAAAGRycy9kb3ducmV2LnhtbFBLAQIUABQAAAAIAIdO4kAz&#10;LwWeOwAAADkAAAAQAAAAAAAAAAEAIAAAAA4BAABkcnMvc2hhcGV4bWwueG1sUEsFBgAAAAAGAAYA&#10;WwEAALgDAAAAAA==&#10;" adj="430,31883" strokecolor="#4f81bd" strokeweight="1.52778mm">
              <v:stroke linestyle="thickThin"/>
              <v:textbox>
                <w:txbxContent>
                  <w:p w:rsidR="00E37845" w:rsidRDefault="00E22BDD">
                    <w:pPr>
                      <w:pStyle w:val="ad"/>
                      <w:rPr>
                        <w:sz w:val="18"/>
                        <w:szCs w:val="18"/>
                      </w:rPr>
                    </w:pPr>
                    <w:r>
                      <w:rPr>
                        <w:rFonts w:hAnsi="Times New Roman"/>
                        <w:color w:val="000000"/>
                        <w:kern w:val="24"/>
                        <w:sz w:val="18"/>
                        <w:szCs w:val="18"/>
                      </w:rPr>
                      <w:t>财务后台处理网报单和对应的凭证处理</w:t>
                    </w:r>
                  </w:p>
                </w:txbxContent>
              </v:textbox>
            </v:shape>
            <v:shape id="自选图形 234" o:spid="_x0000_s1107" type="#_x0000_t62" style="position:absolute;left:11364;top:2126;width:6653;height:1601;v-text-anchor:middle" o:gfxdata="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zmb28AAAA&#10;2wAAAA8AAAAAAAAAAQAgAAAAIgAAAGRycy9kb3ducmV2LnhtbFBLAQIUABQAAAAIAIdO4kAzLwWe&#10;OwAAADkAAAAQAAAAAAAAAAEAIAAAAAsBAABkcnMvc2hhcGV4bWwueG1sUEsFBgAAAAAGAAYAWwEA&#10;ALUDAAAAAA==&#10;" adj="604,25280" strokecolor="#4f81bd" strokeweight="1.52778mm">
              <v:stroke linestyle="thickThin"/>
              <v:textbox>
                <w:txbxContent>
                  <w:p w:rsidR="00E37845" w:rsidRDefault="00E22BDD">
                    <w:pPr>
                      <w:numPr>
                        <w:ilvl w:val="0"/>
                        <w:numId w:val="1"/>
                      </w:numPr>
                      <w:rPr>
                        <w:rFonts w:ascii="宋体" w:hAnsi="Times New Roman"/>
                        <w:color w:val="000000"/>
                        <w:kern w:val="24"/>
                      </w:rPr>
                    </w:pPr>
                    <w:r>
                      <w:rPr>
                        <w:rFonts w:ascii="宋体" w:hAnsi="Times New Roman" w:hint="eastAsia"/>
                        <w:color w:val="000000"/>
                        <w:kern w:val="24"/>
                      </w:rPr>
                      <w:t>教师登录OA后跳转到学校财务管理系统</w:t>
                    </w:r>
                  </w:p>
                  <w:p w:rsidR="00E37845" w:rsidRDefault="00E22BDD">
                    <w:pPr>
                      <w:numPr>
                        <w:ilvl w:val="0"/>
                        <w:numId w:val="1"/>
                      </w:numPr>
                      <w:rPr>
                        <w:rFonts w:ascii="宋体" w:hAnsi="Times New Roman"/>
                        <w:color w:val="000000"/>
                        <w:kern w:val="24"/>
                      </w:rPr>
                    </w:pPr>
                    <w:r>
                      <w:rPr>
                        <w:rFonts w:ascii="宋体" w:hAnsi="Times New Roman" w:hint="eastAsia"/>
                        <w:color w:val="000000"/>
                        <w:kern w:val="24"/>
                      </w:rPr>
                      <w:t>学生直接登录财务管理系统（http://202.192.18.21:8800/），登录账号为学号（初始密码是身份证后六位）</w:t>
                    </w:r>
                  </w:p>
                </w:txbxContent>
              </v:textbox>
            </v:shape>
            <v:group id="Group 3" o:spid="_x0000_s1108" style="position:absolute;left:9835;top:2728;width:8696;height:8423" coordorigin="21441,877" coordsize="51259,45579"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v:shape id="AutoShape 4" o:spid="_x0000_s1109" style="position:absolute;left:31853;top:18445;width:7392;height:4486;rotation:90" coordsize="21600,21600" o:spt="100" o:gfxdata="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MF+G8AAAA&#10;2wAAAA8AAAAAAAAAAQAgAAAAIgAAAGRycy9kb3ducmV2LnhtbFBLAQIUABQAAAAIAIdO4kAzLwWe&#10;OwAAADkAAAAQAAAAAAAAAAEAIAAAAAsBAABkcnMvc2hhcGV4bWwueG1sUEsFBgAAAAAGAAYAWwEA&#10;ALUDAAAAAA==&#10;" adj="0,,0" path="m16200,l10800,6788r1854,l12654,13842,,13842r,7758l19746,21600r,-14812l21600,6788,16200,xe" fillcolor="#bcd7e2" strokecolor="white">
                <v:stroke joinstyle="miter"/>
                <v:formulas/>
                <v:path o:connecttype="segments" o:connectlocs="645678,0;430452,210116;504346,210116;504346,428466;0,428466;0,668607;787010,668607;787010,210116;860904,210116;645678,0" o:connectangles="0,0,0,0,0,0,0,0,0,0"/>
              </v:shape>
              <v:roundrect id="_x0000_s1110" style="position:absolute;left:29410;top:13161;width:9737;height:3864" arcsize="10923f" o:gfxdata="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3dW3vQAA&#10;ANsAAAAPAAAAAAAAAAEAIAAAACIAAABkcnMvZG93bnJldi54bWxQSwECFAAUAAAACACHTuJAMy8F&#10;njsAAAA5AAAAEAAAAAAAAAABACAAAAAMAQAAZHJzL3NoYXBleG1sLnhtbFBLBQYAAAAABgAGAFsB&#10;AAC2AwAAAAA=&#10;" fillcolor="#92d3ee" stroked="f">
                <v:fill color2="#d6f1ff" colors="0 #92d3ee;42598f #c6ecfd;1 #d6f1ff" focus="100%" type="gradient"/>
              </v:roundrect>
              <v:rect id="Rectangle 6" o:spid="_x0000_s1111" style="position:absolute;left:29228;top:13664;width:10646;height:3983;v-text-anchor:middle" o:gfxdata="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6wkvQAA&#10;ANsAAAAPAAAAAAAAAAEAIAAAACIAAABkcnMvZG93bnJldi54bWxQSwECFAAUAAAACACHTuJAMy8F&#10;njsAAAA5AAAAEAAAAAAAAAABACAAAAAMAQAAZHJzL3NoYXBleG1sLnhtbFBLBQYAAAAABgAGAFsB&#10;AAC2AwAAAAA=&#10;" filled="f" stroked="f">
                <v:textbox inset="5.4pt,5.4pt,5.4pt,5.4pt">
                  <w:txbxContent>
                    <w:p w:rsidR="00E37845" w:rsidRDefault="00E22BDD">
                      <w:pPr>
                        <w:pStyle w:val="ad"/>
                        <w:widowControl w:val="0"/>
                        <w:spacing w:line="240" w:lineRule="exact"/>
                        <w:jc w:val="center"/>
                        <w:rPr>
                          <w:spacing w:val="-11"/>
                          <w:sz w:val="18"/>
                          <w:szCs w:val="18"/>
                        </w:rPr>
                      </w:pPr>
                      <w:r>
                        <w:rPr>
                          <w:rFonts w:hAnsi="Times New Roman"/>
                          <w:color w:val="000000"/>
                          <w:spacing w:val="-11"/>
                          <w:kern w:val="24"/>
                          <w:sz w:val="18"/>
                          <w:szCs w:val="18"/>
                        </w:rPr>
                        <w:t>制单提交</w:t>
                      </w:r>
                      <w:r>
                        <w:rPr>
                          <w:rFonts w:hAnsi="Times New Roman" w:hint="eastAsia"/>
                          <w:color w:val="000000"/>
                          <w:spacing w:val="-11"/>
                          <w:kern w:val="24"/>
                          <w:sz w:val="18"/>
                          <w:szCs w:val="18"/>
                        </w:rPr>
                        <w:t>并打印</w:t>
                      </w:r>
                    </w:p>
                  </w:txbxContent>
                </v:textbox>
              </v:rect>
              <v:rect id="Rectangle 7" o:spid="_x0000_s1112" style="position:absolute;left:21441;top:877;width:7188;height:5595" o:gfxdata="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sE0r4A&#10;AADbAAAADwAAAAAAAAABACAAAAAiAAAAZHJzL2Rvd25yZXYueG1sUEsBAhQAFAAAAAgAh07iQDMv&#10;BZ47AAAAOQAAABAAAAAAAAAAAQAgAAAADQEAAGRycy9zaGFwZXhtbC54bWxQSwUGAAAAAAYABgBb&#10;AQAAtwMAAAAA&#10;" filled="f" stroked="f"/>
              <v:shape id="AutoShape 8" o:spid="_x0000_s1113" style="position:absolute;left:40157;top:25626;width:7392;height:4486;rotation:90" coordsize="21600,21600" o:spt="100" o:gfxdata="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u60LsAAADb&#10;AAAADwAAAAAAAAABACAAAAAiAAAAZHJzL2Rvd25yZXYueG1sUEsBAhQAFAAAAAgAh07iQDMvBZ47&#10;AAAAOQAAABAAAAAAAAAAAQAgAAAACgEAAGRycy9zaGFwZXhtbC54bWxQSwUGAAAAAAYABgBbAQAA&#10;tAMAAAAA&#10;" adj="0,,0" path="m16200,l10800,6788r1854,l12654,13842,,13842r,7758l19746,21600r,-14812l21600,6788,16200,xe" fillcolor="#bcd7e2" strokecolor="white">
                <v:stroke joinstyle="miter"/>
                <v:formulas/>
                <v:path o:connecttype="segments" o:connectlocs="617426,0;411617,310412;482278,310412;482278,632988;0,632988;0,987757;752573,987757;752573,310412;823234,310412;617426,0" o:connectangles="0,0,0,0,0,0,0,0,0,0"/>
              </v:shape>
              <v:roundrect id="AutoShape 9" o:spid="_x0000_s1114" style="position:absolute;left:37695;top:20412;width:9737;height:3864" arcsize="10923f" o:gfxdata="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I5vG/&#10;AAAA2wAAAA8AAAAAAAAAAQAgAAAAIgAAAGRycy9kb3ducmV2LnhtbFBLAQIUABQAAAAIAIdO4kAz&#10;LwWeOwAAADkAAAAQAAAAAAAAAAEAIAAAAA4BAABkcnMvc2hhcGV4bWwueG1sUEsFBgAAAAAGAAYA&#10;WwEAALgDAAAAAA==&#10;" fillcolor="#92d3ee" stroked="f">
                <v:fill color2="#d6f1ff" colors="0 #92d3ee;42598f #c6ecfd;1 #d6f1ff" focus="100%" type="gradient"/>
              </v:roundrect>
              <v:rect id="Rectangle 10" o:spid="_x0000_s1115" style="position:absolute;left:38300;top:20082;width:8706;height:4930;v-text-anchor:middle" o:gfxdata="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YqYhugAAANsA&#10;AAAPAAAAAAAAAAEAIAAAACIAAABkcnMvZG93bnJldi54bWxQSwECFAAUAAAACACHTuJAMy8FnjsA&#10;AAA5AAAAEAAAAAAAAAABACAAAAAJAQAAZHJzL3NoYXBleG1sLnhtbFBLBQYAAAAABgAGAFsBAACz&#10;AwAAAAA=&#10;" filled="f" stroked="f">
                <v:textbox inset="5.4pt,5.4pt,5.4pt,5.4pt">
                  <w:txbxContent>
                    <w:p w:rsidR="00E37845" w:rsidRDefault="00E22BDD">
                      <w:pPr>
                        <w:pStyle w:val="ad"/>
                        <w:widowControl w:val="0"/>
                        <w:spacing w:line="200" w:lineRule="exact"/>
                        <w:jc w:val="center"/>
                        <w:rPr>
                          <w:sz w:val="18"/>
                          <w:szCs w:val="18"/>
                        </w:rPr>
                      </w:pPr>
                      <w:r>
                        <w:rPr>
                          <w:rFonts w:hAnsi="Times New Roman"/>
                          <w:color w:val="000000"/>
                          <w:kern w:val="24"/>
                          <w:sz w:val="18"/>
                          <w:szCs w:val="18"/>
                        </w:rPr>
                        <w:t>负责人签字审批</w:t>
                      </w:r>
                    </w:p>
                  </w:txbxContent>
                </v:textbox>
              </v:rect>
              <v:rect id="Rectangle 11" o:spid="_x0000_s1116" style="position:absolute;left:30018;top:8746;width:7191;height:5593" o:gfxdata="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NYO174A&#10;AADbAAAADwAAAAAAAAABACAAAAAiAAAAZHJzL2Rvd25yZXYueG1sUEsBAhQAFAAAAAgAh07iQDMv&#10;BZ47AAAAOQAAABAAAAAAAAAAAQAgAAAADQEAAGRycy9zaGFwZXhtbC54bWxQSwUGAAAAAAYABgBb&#10;AQAAtwMAAAAA&#10;" filled="f" stroked="f"/>
              <v:rect id="Rectangle 15" o:spid="_x0000_s1117" style="position:absolute;left:40115;top:16519;width:7191;height:5594" o:gfxdata="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snJ+/&#10;AAAA3AAAAA8AAAAAAAAAAQAgAAAAIgAAAGRycy9kb3ducmV2LnhtbFBLAQIUABQAAAAIAIdO4kAz&#10;LwWeOwAAADkAAAAQAAAAAAAAAAEAIAAAAA4BAABkcnMvc2hhcGV4bWwueG1sUEsFBgAAAAAGAAYA&#10;WwEAALgDAAAAAA==&#10;" filled="f" stroked="f"/>
              <v:shape id="AutoShape 16" o:spid="_x0000_s1118" style="position:absolute;left:48805;top:32942;width:7392;height:4486;rotation:90" coordsize="21600,21600" o:spt="100" o:gfxdata="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5JB07sAAADc&#10;AAAADwAAAAAAAAABACAAAAAiAAAAZHJzL2Rvd25yZXYueG1sUEsBAhQAFAAAAAgAh07iQDMvBZ47&#10;AAAAOQAAABAAAAAAAAAAAQAgAAAACgEAAGRycy9zaGFwZXhtbC54bWxQSwUGAAAAAAYABgBbAQAA&#10;tAMAAAAA&#10;" adj="0,,0" path="m16200,l10800,6788r1854,l12654,13842,,13842r,7758l19746,21600r,-14812l21600,6788,16200,xe" fillcolor="#bcd7e2" strokecolor="white">
                <v:stroke joinstyle="miter"/>
                <v:formulas/>
                <v:path o:connecttype="segments" o:connectlocs="649703,0;433136,232557;507490,232557;507490,474226;0,474226;0,740015;791916,740015;791916,232557;866271,232557;649703,0" o:connectangles="0,0,0,0,0,0,0,0,0,0"/>
              </v:shape>
              <v:roundrect id="AutoShape 17" o:spid="_x0000_s1119" style="position:absolute;left:46142;top:27706;width:9736;height:3864" arcsize="10923f" o:gfxdata="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FCou8AAAA&#10;3AAAAA8AAAAAAAAAAQAgAAAAIgAAAGRycy9kb3ducmV2LnhtbFBLAQIUABQAAAAIAIdO4kAzLwWe&#10;OwAAADkAAAAQAAAAAAAAAAEAIAAAAAsBAABkcnMvc2hhcGV4bWwueG1sUEsFBgAAAAAGAAYAWwEA&#10;ALUDAAAAAA==&#10;" fillcolor="#92d3ee" stroked="f">
                <v:fill color2="#d6f1ff" colors="0 #92d3ee;42598f #c6ecfd;1 #d6f1ff" focus="100%" type="gradient"/>
              </v:roundrect>
              <v:rect id="Rectangle 19" o:spid="_x0000_s1120" style="position:absolute;left:64406;top:40820;width:6550;height:5593" o:gfxdata="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Aui8AAAA&#10;3AAAAA8AAAAAAAAAAQAgAAAAIgAAAGRycy9kb3ducmV2LnhtbFBLAQIUABQAAAAIAIdO4kAzLwWe&#10;OwAAADkAAAAQAAAAAAAAAAEAIAAAAAsBAABkcnMvc2hhcGV4bWwueG1sUEsFBgAAAAAGAAYAWwEA&#10;ALUDAAAAAA==&#10;" filled="f" stroked="f"/>
              <v:shape id="AutoShape 20" o:spid="_x0000_s1121" style="position:absolute;left:57253;top:39778;width:7391;height:4502;rotation:90" coordsize="21600,21600" o:spt="100" o:gfxdata="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iS7sAAADc&#10;AAAADwAAAAAAAAABACAAAAAiAAAAZHJzL2Rvd25yZXYueG1sUEsBAhQAFAAAAAgAh07iQDMvBZ47&#10;AAAAOQAAABAAAAAAAAAAAQAgAAAACgEAAGRycy9zaGFwZXhtbC54bWxQSwUGAAAAAAYABgBbAQAA&#10;tAMAAAAA&#10;" adj="0,,0" path="m16200,l10800,6788r1854,l12654,13842,,13842r,7758l19746,21600r,-14812l21600,6788,16200,xe" fillcolor="#bcd7e2" strokecolor="white">
                <v:stroke joinstyle="miter"/>
                <v:formulas/>
                <v:path o:connecttype="segments" o:connectlocs="440466,0;293644,210116;344053,210116;344053,428466;0,428466;0,668607;536879,668607;536879,210116;587288,210116;440466,0" o:connectangles="0,0,0,0,0,0,0,0,0,0"/>
              </v:shape>
              <v:roundrect id="AutoShape 21" o:spid="_x0000_s1122" style="position:absolute;left:54660;top:34963;width:9737;height:3864" arcsize="10923f" o:gfxdata="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skv+8AAAA&#10;3AAAAA8AAAAAAAAAAQAgAAAAIgAAAGRycy9kb3ducmV2LnhtbFBLAQIUABQAAAAIAIdO4kAzLwWe&#10;OwAAADkAAAAQAAAAAAAAAAEAIAAAAAsBAABkcnMvc2hhcGV4bWwueG1sUEsFBgAAAAAGAAYAWwEA&#10;ALUDAAAAAA==&#10;" fillcolor="#92d3ee" stroked="f">
                <v:fill color2="#d6f1ff" colors="0 #92d3ee;42598f #c6ecfd;1 #d6f1ff" focus="100%" type="gradient"/>
              </v:roundrect>
              <v:rect id="Rectangle 22" o:spid="_x0000_s1123" style="position:absolute;left:54640;top:35347;width:9502;height:4253;v-text-anchor:middle" o:gfxdata="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wGjULsAAADc&#10;AAAADwAAAAAAAAABACAAAAAiAAAAZHJzL2Rvd25yZXYueG1sUEsBAhQAFAAAAAgAh07iQDMvBZ47&#10;AAAAOQAAABAAAAAAAAAAAQAgAAAACgEAAGRycy9zaGFwZXhtbC54bWxQSwUGAAAAAAYABgBbAQAA&#10;tAMAAAAA&#10;" filled="f" stroked="f">
                <v:textbox inset="5.4pt,5.4pt,5.4pt,5.4pt">
                  <w:txbxContent>
                    <w:p w:rsidR="00E37845" w:rsidRDefault="00E22BDD">
                      <w:pPr>
                        <w:pStyle w:val="ad"/>
                        <w:spacing w:after="151" w:line="216" w:lineRule="auto"/>
                        <w:jc w:val="center"/>
                        <w:rPr>
                          <w:sz w:val="21"/>
                          <w:szCs w:val="21"/>
                        </w:rPr>
                      </w:pPr>
                      <w:r>
                        <w:rPr>
                          <w:rFonts w:hAnsi="Times New Roman"/>
                          <w:color w:val="000000"/>
                          <w:kern w:val="24"/>
                          <w:sz w:val="21"/>
                          <w:szCs w:val="21"/>
                        </w:rPr>
                        <w:t>财务处理</w:t>
                      </w:r>
                    </w:p>
                  </w:txbxContent>
                </v:textbox>
              </v:rect>
              <v:roundrect id="AutoShape 24" o:spid="_x0000_s1124" style="position:absolute;left:62958;top:41738;width:9743;height:3880" arcsize="10923f" o:gfxdata="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yqRO8AAAA&#10;3AAAAA8AAAAAAAAAAQAgAAAAIgAAAGRycy9kb3ducmV2LnhtbFBLAQIUABQAAAAIAIdO4kAzLwWe&#10;OwAAADkAAAAQAAAAAAAAAAEAIAAAAAsBAABkcnMvc2hhcGV4bWwueG1sUEsFBgAAAAAGAAYAWwEA&#10;ALUDAAAAAA==&#10;" fillcolor="#92d3ee" stroked="f">
                <v:fill color2="#d6f1ff" colors="0 #92d3ee;42598f #c6ecfd;1 #d6f1ff" focus="100%" type="gradient"/>
              </v:roundrect>
              <v:rect id="Rectangle 25" o:spid="_x0000_s1125" style="position:absolute;left:63623;top:42100;width:8654;height:4357;v-text-anchor:middle" o:gfxdata="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Skrm8AAAA&#10;3AAAAA8AAAAAAAAAAQAgAAAAIgAAAGRycy9kb3ducmV2LnhtbFBLAQIUABQAAAAIAIdO4kAzLwWe&#10;OwAAADkAAAAQAAAAAAAAAAEAIAAAAAsBAABkcnMvc2hhcGV4bWwueG1sUEsFBgAAAAAGAAYAWwEA&#10;ALUDAAAAAA==&#10;" filled="f" stroked="f">
                <v:textbox inset="5.4pt,5.4pt,5.4pt,5.4pt">
                  <w:txbxContent>
                    <w:p w:rsidR="00E37845" w:rsidRDefault="00E22BDD">
                      <w:pPr>
                        <w:pStyle w:val="ad"/>
                        <w:spacing w:after="151" w:line="216" w:lineRule="auto"/>
                        <w:jc w:val="center"/>
                        <w:rPr>
                          <w:sz w:val="21"/>
                          <w:szCs w:val="21"/>
                        </w:rPr>
                      </w:pPr>
                      <w:r>
                        <w:rPr>
                          <w:rFonts w:hAnsi="Times New Roman"/>
                          <w:color w:val="000000"/>
                          <w:kern w:val="24"/>
                          <w:sz w:val="21"/>
                          <w:szCs w:val="21"/>
                        </w:rPr>
                        <w:t>结果查询</w:t>
                      </w:r>
                    </w:p>
                  </w:txbxContent>
                </v:textbox>
              </v:rect>
              <v:rect id="Rectangle 18" o:spid="_x0000_s1126" style="position:absolute;left:46110;top:27387;width:9514;height:5395;v-text-anchor:middle" o:gfxdata="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43IrsAAADc&#10;AAAADwAAAAAAAAABACAAAAAiAAAAZHJzL2Rvd25yZXYueG1sUEsBAhQAFAAAAAgAh07iQDMvBZ47&#10;AAAAOQAAABAAAAAAAAAAAQAgAAAACgEAAGRycy9zaGFwZXhtbC54bWxQSwUGAAAAAAYABgBbAQAA&#10;tAMAAAAA&#10;" filled="f" stroked="f">
                <v:textbox inset="5.4pt,5.4pt,5.4pt,5.4pt">
                  <w:txbxContent>
                    <w:p w:rsidR="00E37845" w:rsidRDefault="00E22BDD">
                      <w:pPr>
                        <w:pStyle w:val="ad"/>
                        <w:spacing w:after="151" w:line="216" w:lineRule="auto"/>
                        <w:jc w:val="center"/>
                        <w:rPr>
                          <w:sz w:val="21"/>
                          <w:szCs w:val="21"/>
                        </w:rPr>
                      </w:pPr>
                      <w:r>
                        <w:rPr>
                          <w:rFonts w:hAnsi="Times New Roman"/>
                          <w:color w:val="000000"/>
                          <w:kern w:val="24"/>
                          <w:sz w:val="21"/>
                          <w:szCs w:val="21"/>
                        </w:rPr>
                        <w:t>财务收单</w:t>
                      </w:r>
                    </w:p>
                  </w:txbxContent>
                </v:textbox>
              </v:rect>
            </v:group>
            <v:shape id="圆角矩形标注 6" o:spid="_x0000_s1127" type="#_x0000_t62" style="position:absolute;left:16074;top:11431;width:1592;height:1106;v-text-anchor:middle" o:gfxdata="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fwx7sAAADc&#10;AAAADwAAAAAAAAABACAAAAAiAAAAZHJzL2Rvd25yZXYueG1sUEsBAhQAFAAAAAgAh07iQDMvBZ47&#10;AAAAOQAAABAAAAAAAAAAAQAgAAAACgEAAGRycy9zaGFwZXhtbC54bWxQSwUGAAAAAAYABgBbAQAA&#10;tAMAAAAA&#10;" adj="21376,-6491" strokecolor="#4f81bd" strokeweight="1.52778mm">
              <v:stroke linestyle="thickThin"/>
              <v:textbox>
                <w:txbxContent>
                  <w:p w:rsidR="00E37845" w:rsidRDefault="00E22BDD">
                    <w:pPr>
                      <w:pStyle w:val="ad"/>
                      <w:widowControl w:val="0"/>
                      <w:spacing w:beforeAutospacing="0" w:afterAutospacing="0" w:line="240" w:lineRule="exact"/>
                      <w:jc w:val="center"/>
                      <w:rPr>
                        <w:sz w:val="18"/>
                        <w:szCs w:val="18"/>
                      </w:rPr>
                    </w:pPr>
                    <w:r>
                      <w:rPr>
                        <w:rFonts w:hAnsi="Times New Roman"/>
                        <w:color w:val="000000"/>
                        <w:kern w:val="24"/>
                        <w:sz w:val="18"/>
                        <w:szCs w:val="18"/>
                      </w:rPr>
                      <w:t>我的报销状态查询</w:t>
                    </w:r>
                  </w:p>
                  <w:p w:rsidR="00E37845" w:rsidRDefault="00E37845">
                    <w:pPr>
                      <w:spacing w:line="240" w:lineRule="exact"/>
                      <w:rPr>
                        <w:sz w:val="18"/>
                        <w:szCs w:val="18"/>
                      </w:rPr>
                    </w:pPr>
                  </w:p>
                </w:txbxContent>
              </v:textbox>
            </v:shape>
          </v:group>
        </w:pict>
      </w:r>
    </w:p>
    <w:p w:rsidR="00E37845" w:rsidRDefault="001B499F">
      <w:pPr>
        <w:adjustRightInd w:val="0"/>
        <w:snapToGrid w:val="0"/>
        <w:spacing w:line="360" w:lineRule="auto"/>
        <w:ind w:firstLineChars="200" w:firstLine="420"/>
        <w:jc w:val="center"/>
        <w:rPr>
          <w:rFonts w:ascii="仿宋_GB2312" w:eastAsia="仿宋_GB2312" w:hAnsi="仿宋_GB2312" w:cs="仿宋_GB2312"/>
          <w:color w:val="000000" w:themeColor="text1"/>
          <w:sz w:val="24"/>
          <w:szCs w:val="24"/>
        </w:rPr>
      </w:pPr>
      <w:r>
        <w:pict>
          <v:roundrect id="AutoShape 5" o:spid="_x0000_s1099" style="position:absolute;left:0;text-align:left;margin-left:72.3pt;margin-top:18.7pt;width:62.5pt;height:62.65pt;z-index:-251625984;mso-width-relative:page;mso-height-relative:page" arcsize="10923f" fillcolor="#92d3ee" stroked="f">
            <v:fill color2="#d6f1ff" colors="0 #92d3ee;42598f #c6ecfd;1 #d6f1ff" focus="100%" type="gradient"/>
          </v:roundrect>
        </w:pict>
      </w:r>
    </w:p>
    <w:p w:rsidR="00E37845" w:rsidRDefault="00E37845">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以上政策规定详见《广州大学经费支出审批权限暂行办法》（广大</w:t>
      </w:r>
      <w:r>
        <w:rPr>
          <w:rFonts w:ascii="仿宋_GB2312" w:eastAsia="仿宋_GB2312" w:hAnsi="仿宋_GB2312" w:cs="仿宋_GB2312"/>
          <w:color w:val="000000" w:themeColor="text1"/>
          <w:sz w:val="24"/>
          <w:szCs w:val="24"/>
        </w:rPr>
        <w:t>[2016]219号）、《广州大学国内差旅费管理办法》（广大[2017]111号）、《广州大学会议费管理办法》（广大[2017]113号）、《广州大学培训费管理办法》（广大[2018]78号）、广州大学转发《广州市财政局关于调整市直机关和事业单位误餐费夜餐费开支标准的通知》（广大[2014]177号）、《广州大学固定资产管理办法》（广大[2017]176号）、《广州大学对外经济合同管理规定（试行）》（广大[2017]135号）等。</w:t>
      </w:r>
    </w:p>
    <w:p w:rsidR="00E37845" w:rsidRDefault="00E22BDD">
      <w:pPr>
        <w:pStyle w:val="1"/>
        <w:adjustRightInd w:val="0"/>
        <w:snapToGrid w:val="0"/>
        <w:spacing w:beforeLines="100" w:before="312" w:afterLines="100" w:after="312" w:line="360" w:lineRule="auto"/>
        <w:rPr>
          <w:rFonts w:ascii="黑体" w:hAnsi="黑体" w:cs="黑体"/>
        </w:rPr>
      </w:pPr>
      <w:r>
        <w:rPr>
          <w:rFonts w:ascii="仿宋_GB2312" w:eastAsia="仿宋_GB2312" w:hAnsi="仿宋_GB2312" w:cs="仿宋_GB2312"/>
          <w:color w:val="000000" w:themeColor="text1"/>
          <w:sz w:val="24"/>
          <w:szCs w:val="24"/>
        </w:rPr>
        <w:br w:type="page"/>
      </w:r>
      <w:bookmarkStart w:id="2931" w:name="_Toc3605"/>
      <w:r>
        <w:rPr>
          <w:rFonts w:ascii="微软雅黑" w:eastAsia="微软雅黑" w:hAnsi="微软雅黑" w:cs="微软雅黑" w:hint="eastAsia"/>
        </w:rPr>
        <w:lastRenderedPageBreak/>
        <w:t>9.实验设备、实验室管理</w:t>
      </w:r>
      <w:bookmarkEnd w:id="2931"/>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932" w:name="_Toc3995"/>
      <w:r>
        <w:rPr>
          <w:rFonts w:ascii="黑体" w:eastAsia="黑体" w:hAnsi="黑体" w:cs="黑体" w:hint="eastAsia"/>
          <w:color w:val="000000" w:themeColor="text1"/>
          <w:sz w:val="28"/>
          <w:szCs w:val="28"/>
        </w:rPr>
        <w:t>9.1实验室管理主要规定</w:t>
      </w:r>
      <w:bookmarkEnd w:id="2932"/>
    </w:p>
    <w:p w:rsidR="00E37845" w:rsidRDefault="00E22BDD">
      <w:pPr>
        <w:pStyle w:val="af4"/>
        <w:adjustRightInd w:val="0"/>
        <w:snapToGrid w:val="0"/>
        <w:spacing w:line="360" w:lineRule="auto"/>
        <w:ind w:firstLine="482"/>
        <w:rPr>
          <w:rFonts w:ascii="仿宋_GB2312" w:eastAsia="仿宋_GB2312" w:hAnsi="仿宋_GB2312" w:cs="仿宋_GB2312"/>
          <w:b/>
          <w:bCs/>
          <w:color w:val="000000" w:themeColor="text1"/>
          <w:sz w:val="24"/>
          <w:szCs w:val="24"/>
        </w:rPr>
      </w:pPr>
      <w:r>
        <w:rPr>
          <w:rFonts w:ascii="黑体" w:eastAsia="黑体" w:hAnsi="黑体" w:cs="黑体" w:hint="eastAsia"/>
          <w:b/>
          <w:bCs/>
          <w:color w:val="000000" w:themeColor="text1"/>
          <w:sz w:val="24"/>
          <w:szCs w:val="24"/>
        </w:rPr>
        <w:t>一、实验技术人员考核</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实验技术人员分为实验教学为主型、实验管理为主型、平台服务为主型三类：实验教学为主型一般指以承担实验教学为主的实验技术人员；实验管理为主型一般指以承担实验技术管理为主的实验技术人员；平台服务为主型一般指以公共平台服务为主的实验技术人员。</w:t>
      </w:r>
    </w:p>
    <w:p w:rsidR="00E37845" w:rsidRDefault="00E22BDD">
      <w:pPr>
        <w:pStyle w:val="af4"/>
        <w:adjustRightInd w:val="0"/>
        <w:snapToGrid w:val="0"/>
        <w:spacing w:line="360" w:lineRule="auto"/>
        <w:ind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二、危化品管理（详见广大〔2018〕70号）</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我校危险化学品实行学校、学院（科研机构</w:t>
      </w:r>
      <w:r>
        <w:rPr>
          <w:rFonts w:ascii="仿宋_GB2312" w:eastAsia="仿宋_GB2312" w:hAnsi="仿宋_GB2312" w:cs="仿宋_GB2312"/>
          <w:color w:val="000000" w:themeColor="text1"/>
          <w:sz w:val="24"/>
          <w:szCs w:val="24"/>
        </w:rPr>
        <w:t>I类）、实验室三级管理体制。化学危险品的购买、使用、储存和废弃物处置以及相关的安全监督管理活动需遵守相关法律法规和学校的统一管理。对于违反本办法的个人，其所属实验室，必须停做整改，并对责任人按情况和情节轻重处理。</w:t>
      </w:r>
    </w:p>
    <w:p w:rsidR="00E37845" w:rsidRDefault="00E22BDD">
      <w:pPr>
        <w:pStyle w:val="af4"/>
        <w:adjustRightInd w:val="0"/>
        <w:snapToGrid w:val="0"/>
        <w:spacing w:line="360" w:lineRule="auto"/>
        <w:ind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三、实验室准入管理(详见广大〔2018〕11号)</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各实验室不得允许未获安全准入资格的学生进入实验室操作，违者学校将追究相关管理人员责任。</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933" w:name="_Toc14841"/>
      <w:r>
        <w:rPr>
          <w:rFonts w:ascii="黑体" w:eastAsia="黑体" w:hAnsi="黑体" w:cs="黑体" w:hint="eastAsia"/>
          <w:color w:val="000000" w:themeColor="text1"/>
          <w:sz w:val="28"/>
          <w:szCs w:val="28"/>
        </w:rPr>
        <w:t>9.2设备管理（详见广大[2017]336号及2个配套文件）</w:t>
      </w:r>
      <w:bookmarkEnd w:id="2933"/>
    </w:p>
    <w:p w:rsidR="00E37845" w:rsidRDefault="00E22BDD">
      <w:pPr>
        <w:pStyle w:val="af4"/>
        <w:adjustRightInd w:val="0"/>
        <w:snapToGrid w:val="0"/>
        <w:spacing w:line="360" w:lineRule="auto"/>
        <w:ind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一、教学科研固定资产的管理“登账管理”</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登账管理：设备采购完成并验收合格后，申购人登录资产综合管理平台，网上填报设备的基本资料，并上传实物照片、发票和明细清单、购货合同等，单价超过10万元的设备还需上传购置论证报告。详见：实验室与设备管理处网页的《教学科研仪器设备报增流程》。</w:t>
      </w:r>
    </w:p>
    <w:p w:rsidR="00E37845" w:rsidRDefault="00E22BDD">
      <w:pPr>
        <w:pStyle w:val="af4"/>
        <w:adjustRightInd w:val="0"/>
        <w:snapToGrid w:val="0"/>
        <w:spacing w:line="360" w:lineRule="auto"/>
        <w:ind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二、实验耗材及低值品管理，低值品的处置参照固定资产的处置执行</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实验耗材及低值品是指在教学科研实验中使用的不属于固定资产的物资。具体分类如下：</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实验耗材，是指在教学、科研实验过程中易于消耗或不可复原的物资，如各种原材料、燃料、气体、试剂及打印纸、复印纸、碳粉、硒鼓、墨盒等物资。</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lastRenderedPageBreak/>
        <w:t>低值品包含低值易耗品和低值耐用品。低值易耗品，是指单价在</w:t>
      </w:r>
      <w:r>
        <w:rPr>
          <w:rFonts w:ascii="仿宋_GB2312" w:eastAsia="仿宋_GB2312" w:hAnsi="仿宋_GB2312" w:cs="仿宋_GB2312"/>
          <w:color w:val="000000" w:themeColor="text1"/>
          <w:sz w:val="24"/>
          <w:szCs w:val="24"/>
        </w:rPr>
        <w:t>500元以下，耐用期在1年以下的非实验耗材物资。如玻璃器皿、元件、零配件、刀具、实验用的动植物、窗帘、被服等物资。低值耐用品，是指单价在500元以上（含500元）、1000元以下、耐用期在1年以上的各种仪器、仪表、工具、量具、示教模型、家具、风扇等物资。</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详见：广大</w:t>
      </w:r>
      <w:r>
        <w:rPr>
          <w:rFonts w:ascii="仿宋_GB2312" w:eastAsia="仿宋_GB2312" w:hAnsi="仿宋_GB2312" w:cs="仿宋_GB2312"/>
          <w:color w:val="000000" w:themeColor="text1"/>
          <w:sz w:val="24"/>
          <w:szCs w:val="24"/>
        </w:rPr>
        <w:t>[2017]288号（广州大学关于印发《广州大学实验耗材及低值品管理办法（试行）》的通知）</w:t>
      </w:r>
    </w:p>
    <w:p w:rsidR="00E37845" w:rsidRDefault="00E22BDD">
      <w:pPr>
        <w:pStyle w:val="af4"/>
        <w:adjustRightInd w:val="0"/>
        <w:snapToGrid w:val="0"/>
        <w:spacing w:line="360" w:lineRule="auto"/>
        <w:ind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三、低值品的处置参照固定资产的处置执行</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单台套价值在</w:t>
      </w:r>
      <w:r>
        <w:rPr>
          <w:rFonts w:ascii="仿宋_GB2312" w:eastAsia="仿宋_GB2312" w:hAnsi="仿宋_GB2312" w:cs="仿宋_GB2312"/>
          <w:color w:val="000000" w:themeColor="text1"/>
          <w:sz w:val="24"/>
          <w:szCs w:val="24"/>
        </w:rPr>
        <w:t>30万元及以上的教学、科研仪器设备，实行专管共用、开放共享的资源化运行管理。尽量使用学校已有的仪器设备，避免出现区域性仪器设备的重复购置。仪器设备依托单位在用于完成本单位教学、科研、服务的同时，必须向校内、校外实行开放共享的技术服务，实现仪器设备的资源化利用，提高仪器设备的使用效益。</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934" w:name="_Toc31492"/>
      <w:r>
        <w:rPr>
          <w:rFonts w:ascii="黑体" w:eastAsia="黑体" w:hAnsi="黑体" w:cs="黑体" w:hint="eastAsia"/>
          <w:color w:val="000000" w:themeColor="text1"/>
          <w:sz w:val="28"/>
          <w:szCs w:val="28"/>
        </w:rPr>
        <w:t>9.3采购管理</w:t>
      </w:r>
      <w:bookmarkEnd w:id="2934"/>
    </w:p>
    <w:p w:rsidR="00E37845" w:rsidRDefault="00E22BDD">
      <w:pPr>
        <w:pStyle w:val="af4"/>
        <w:adjustRightInd w:val="0"/>
        <w:snapToGrid w:val="0"/>
        <w:spacing w:line="360" w:lineRule="auto"/>
        <w:ind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一、预算编制申报、采购需求制定</w:t>
      </w:r>
    </w:p>
    <w:p w:rsidR="00E37845" w:rsidRDefault="00E22BDD">
      <w:pPr>
        <w:pStyle w:val="af4"/>
        <w:adjustRightInd w:val="0"/>
        <w:snapToGrid w:val="0"/>
        <w:spacing w:line="360" w:lineRule="auto"/>
        <w:ind w:firstLine="480"/>
        <w:rPr>
          <w:rFonts w:ascii="楷体_GB2312" w:eastAsia="楷体_GB2312" w:hAnsi="楷体_GB2312" w:cs="楷体_GB2312"/>
          <w:color w:val="000000" w:themeColor="text1"/>
          <w:sz w:val="24"/>
          <w:szCs w:val="24"/>
        </w:rPr>
      </w:pPr>
      <w:r>
        <w:rPr>
          <w:rFonts w:ascii="楷体_GB2312" w:eastAsia="楷体_GB2312" w:hAnsi="楷体_GB2312" w:cs="楷体_GB2312" w:hint="eastAsia"/>
          <w:color w:val="000000" w:themeColor="text1"/>
          <w:sz w:val="24"/>
          <w:szCs w:val="24"/>
        </w:rPr>
        <w:t>（一）市财政设备专项资金</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用户单位制定采购项目建设方案，组织专家进行论证，经过单位党政联席会议（领导班子会议）审议通过，在本单位内公开、公示。公示后报设备处组织校级项目论证，统一上报广州市本级财政项目库审核，经批复后执行采购。</w:t>
      </w:r>
    </w:p>
    <w:p w:rsidR="00E37845" w:rsidRDefault="00E22BDD">
      <w:pPr>
        <w:pStyle w:val="af4"/>
        <w:adjustRightInd w:val="0"/>
        <w:snapToGrid w:val="0"/>
        <w:spacing w:line="360" w:lineRule="auto"/>
        <w:ind w:firstLine="480"/>
        <w:rPr>
          <w:rFonts w:ascii="楷体_GB2312" w:eastAsia="楷体_GB2312" w:hAnsi="楷体_GB2312" w:cs="楷体_GB2312"/>
          <w:color w:val="000000" w:themeColor="text1"/>
          <w:sz w:val="24"/>
          <w:szCs w:val="24"/>
        </w:rPr>
      </w:pPr>
      <w:r>
        <w:rPr>
          <w:rFonts w:ascii="楷体_GB2312" w:eastAsia="楷体_GB2312" w:hAnsi="楷体_GB2312" w:cs="楷体_GB2312" w:hint="eastAsia"/>
          <w:color w:val="000000" w:themeColor="text1"/>
          <w:sz w:val="24"/>
          <w:szCs w:val="24"/>
        </w:rPr>
        <w:t>(二）其它经费</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用户根据采购预算制定采购计划，通过对市场充分调研合理拟定采购需求，需求内容应包括品名、数量、价格、关键参数、推荐品牌型号（</w:t>
      </w:r>
      <w:r>
        <w:rPr>
          <w:rFonts w:ascii="仿宋_GB2312" w:eastAsia="仿宋_GB2312" w:hAnsi="仿宋_GB2312" w:cs="仿宋_GB2312"/>
          <w:color w:val="000000" w:themeColor="text1"/>
          <w:sz w:val="24"/>
          <w:szCs w:val="24"/>
        </w:rPr>
        <w:t>3家以上）等。</w:t>
      </w:r>
    </w:p>
    <w:p w:rsidR="00E37845" w:rsidRDefault="00E22BDD">
      <w:pPr>
        <w:pStyle w:val="af4"/>
        <w:adjustRightInd w:val="0"/>
        <w:snapToGrid w:val="0"/>
        <w:spacing w:line="360" w:lineRule="auto"/>
        <w:ind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二、采购论证</w:t>
      </w:r>
    </w:p>
    <w:p w:rsidR="00E37845" w:rsidRDefault="00E22BDD">
      <w:pPr>
        <w:pStyle w:val="af4"/>
        <w:adjustRightInd w:val="0"/>
        <w:snapToGrid w:val="0"/>
        <w:spacing w:line="360" w:lineRule="auto"/>
        <w:ind w:firstLine="480"/>
        <w:rPr>
          <w:rFonts w:ascii="楷体_GB2312" w:eastAsia="楷体_GB2312" w:hAnsi="楷体_GB2312" w:cs="楷体_GB2312"/>
          <w:color w:val="000000" w:themeColor="text1"/>
          <w:sz w:val="24"/>
          <w:szCs w:val="24"/>
        </w:rPr>
      </w:pPr>
      <w:r>
        <w:rPr>
          <w:rFonts w:ascii="楷体_GB2312" w:eastAsia="楷体_GB2312" w:hAnsi="楷体_GB2312" w:cs="楷体_GB2312" w:hint="eastAsia"/>
          <w:color w:val="000000" w:themeColor="text1"/>
          <w:sz w:val="24"/>
          <w:szCs w:val="24"/>
        </w:rPr>
        <w:t xml:space="preserve">（一）采购论证 </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采购项目预算</w:t>
      </w:r>
      <w:r>
        <w:rPr>
          <w:rFonts w:ascii="仿宋_GB2312" w:eastAsia="仿宋_GB2312" w:hAnsi="仿宋_GB2312" w:cs="仿宋_GB2312"/>
          <w:color w:val="000000" w:themeColor="text1"/>
          <w:sz w:val="24"/>
          <w:szCs w:val="24"/>
        </w:rPr>
        <w:t>20万元及以上的须组织论证，同时单价预算40万元及以上设备须进行大型贵重设备论证。</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新进科研团队：由设备处组织论证；其它：由用户部门组织论证。（附件</w:t>
      </w:r>
      <w:r>
        <w:rPr>
          <w:rFonts w:ascii="仿宋_GB2312" w:eastAsia="仿宋_GB2312" w:hAnsi="仿宋_GB2312" w:cs="仿宋_GB2312"/>
          <w:color w:val="000000" w:themeColor="text1"/>
          <w:sz w:val="24"/>
          <w:szCs w:val="24"/>
        </w:rPr>
        <w:t>1：广州大学设备购置项目论证报告；附件2：广州大学大型贵重仪器设备购置报告）</w:t>
      </w:r>
    </w:p>
    <w:p w:rsidR="00E37845" w:rsidRDefault="00E22BDD">
      <w:pPr>
        <w:pStyle w:val="af4"/>
        <w:adjustRightInd w:val="0"/>
        <w:snapToGrid w:val="0"/>
        <w:spacing w:line="360" w:lineRule="auto"/>
        <w:ind w:firstLine="480"/>
        <w:rPr>
          <w:rFonts w:ascii="楷体_GB2312" w:eastAsia="楷体_GB2312" w:hAnsi="楷体_GB2312" w:cs="楷体_GB2312"/>
          <w:color w:val="000000" w:themeColor="text1"/>
          <w:sz w:val="24"/>
          <w:szCs w:val="24"/>
        </w:rPr>
      </w:pPr>
      <w:r>
        <w:rPr>
          <w:rFonts w:ascii="楷体_GB2312" w:eastAsia="楷体_GB2312" w:hAnsi="楷体_GB2312" w:cs="楷体_GB2312" w:hint="eastAsia"/>
          <w:color w:val="000000" w:themeColor="text1"/>
          <w:sz w:val="24"/>
          <w:szCs w:val="24"/>
        </w:rPr>
        <w:t xml:space="preserve">（二）进口论证  </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进口设备（指产自境外通过中国海关报关验放进入境内的），凡属广州大学</w:t>
      </w:r>
      <w:r>
        <w:rPr>
          <w:rFonts w:ascii="仿宋_GB2312" w:eastAsia="仿宋_GB2312" w:hAnsi="仿宋_GB2312" w:cs="仿宋_GB2312"/>
          <w:color w:val="000000" w:themeColor="text1"/>
          <w:sz w:val="24"/>
          <w:szCs w:val="24"/>
        </w:rPr>
        <w:t>2018-2019年部门进口产品清单（生化类670种，物理类914种）外的，由用户部门按</w:t>
      </w:r>
      <w:r>
        <w:rPr>
          <w:rFonts w:ascii="仿宋_GB2312" w:eastAsia="仿宋_GB2312" w:hAnsi="仿宋_GB2312" w:cs="仿宋_GB2312"/>
          <w:color w:val="000000" w:themeColor="text1"/>
          <w:sz w:val="24"/>
          <w:szCs w:val="24"/>
        </w:rPr>
        <w:lastRenderedPageBreak/>
        <w:t>规定组织专家论证。论证专家5人（非本校），须熟悉该产品且副高及以上，含一名法律专家。（附件3：广州大学2018-2019年部门进口产品清单；附件4：政府采购进口产品申请表-样版）</w:t>
      </w:r>
    </w:p>
    <w:p w:rsidR="00E37845" w:rsidRDefault="00E22BDD">
      <w:pPr>
        <w:pStyle w:val="af4"/>
        <w:adjustRightInd w:val="0"/>
        <w:snapToGrid w:val="0"/>
        <w:spacing w:line="360" w:lineRule="auto"/>
        <w:ind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三、申购</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（一）采购项目预算</w:t>
      </w:r>
      <w:r>
        <w:rPr>
          <w:rFonts w:ascii="仿宋_GB2312" w:eastAsia="仿宋_GB2312" w:hAnsi="仿宋_GB2312" w:cs="仿宋_GB2312"/>
          <w:color w:val="000000" w:themeColor="text1"/>
          <w:sz w:val="24"/>
          <w:szCs w:val="24"/>
        </w:rPr>
        <w:t>3万元（个人科研经费20万元）以下的，且不属于政府集中采购目录内产品的由用户自行采购，不需申购；</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（二）非自行采购项目均需通过广州大学采购管理系统进行申请采购。</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访问方式：通过学校主页登录“数字广大”，在首页“我的服务”栏选择点击“采购管理”图标，进入“广州大学采购管理系统”进行申请。（附件</w:t>
      </w:r>
      <w:r>
        <w:rPr>
          <w:rFonts w:ascii="仿宋_GB2312" w:eastAsia="仿宋_GB2312" w:hAnsi="仿宋_GB2312" w:cs="仿宋_GB2312"/>
          <w:color w:val="000000" w:themeColor="text1"/>
          <w:sz w:val="24"/>
          <w:szCs w:val="24"/>
        </w:rPr>
        <w:t>5：广州大学采购管理系统使用说明）</w:t>
      </w:r>
    </w:p>
    <w:p w:rsidR="00E37845" w:rsidRDefault="00E22BDD">
      <w:pPr>
        <w:pStyle w:val="af4"/>
        <w:adjustRightInd w:val="0"/>
        <w:snapToGrid w:val="0"/>
        <w:spacing w:line="360" w:lineRule="auto"/>
        <w:ind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四、审批</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采购项目预算</w:t>
      </w:r>
      <w:r>
        <w:rPr>
          <w:rFonts w:ascii="仿宋_GB2312" w:eastAsia="仿宋_GB2312" w:hAnsi="仿宋_GB2312" w:cs="仿宋_GB2312"/>
          <w:color w:val="000000" w:themeColor="text1"/>
          <w:sz w:val="24"/>
          <w:szCs w:val="24"/>
        </w:rPr>
        <w:t>3万元（个人科研经费20万元）以下的，经费负责人或用户部门负责人审批；</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采购项目预算</w:t>
      </w:r>
      <w:r>
        <w:rPr>
          <w:rFonts w:ascii="仿宋_GB2312" w:eastAsia="仿宋_GB2312" w:hAnsi="仿宋_GB2312" w:cs="仿宋_GB2312"/>
          <w:color w:val="000000" w:themeColor="text1"/>
          <w:sz w:val="24"/>
          <w:szCs w:val="24"/>
        </w:rPr>
        <w:t>3万元及以上、20万元以下的（个人科研经费20万元及以上，50万元以下）的，经费负责人、用户部门负责人和设备处负责人审批；</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采购项目预算</w:t>
      </w:r>
      <w:r>
        <w:rPr>
          <w:rFonts w:ascii="仿宋_GB2312" w:eastAsia="仿宋_GB2312" w:hAnsi="仿宋_GB2312" w:cs="仿宋_GB2312"/>
          <w:color w:val="000000" w:themeColor="text1"/>
          <w:sz w:val="24"/>
          <w:szCs w:val="24"/>
        </w:rPr>
        <w:t>20万元及以上，经费主管部门、设备处分管领导及分管校领导审批。</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（备注：科研经费指的是科研纵向和横向经费）</w:t>
      </w:r>
    </w:p>
    <w:p w:rsidR="00E37845" w:rsidRDefault="00E22BDD">
      <w:pPr>
        <w:pStyle w:val="af4"/>
        <w:adjustRightInd w:val="0"/>
        <w:snapToGrid w:val="0"/>
        <w:spacing w:line="360" w:lineRule="auto"/>
        <w:ind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五、采购方式和流程</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（一）政府集中采购目录内产品</w:t>
      </w:r>
      <w:r>
        <w:rPr>
          <w:rFonts w:ascii="仿宋_GB2312" w:eastAsia="仿宋_GB2312" w:hAnsi="仿宋_GB2312" w:cs="仿宋_GB2312"/>
          <w:color w:val="000000" w:themeColor="text1"/>
          <w:sz w:val="24"/>
          <w:szCs w:val="24"/>
        </w:rPr>
        <w:t>(计算机、打印机等)</w:t>
      </w:r>
    </w:p>
    <w:p w:rsidR="00E37845" w:rsidRDefault="00E22BDD">
      <w:pPr>
        <w:pStyle w:val="af4"/>
        <w:adjustRightInd w:val="0"/>
        <w:snapToGrid w:val="0"/>
        <w:spacing w:line="360" w:lineRule="auto"/>
        <w:ind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凡属于政府集中采购目录内产品由设备处和招标办按要求进行政府集中采购，采购人可以通过广州大学采购管理系统的“货物类—政府采购”模块进行申请。政府集中采购须在广州公共资源交易网（</w:t>
      </w:r>
      <w:r>
        <w:rPr>
          <w:rFonts w:ascii="Times New Roman" w:eastAsia="仿宋_GB2312" w:hAnsi="Times New Roman"/>
          <w:color w:val="000000" w:themeColor="text1"/>
          <w:sz w:val="24"/>
          <w:szCs w:val="24"/>
        </w:rPr>
        <w:t>http://www.gzzb.gd.cn/cms/index.html?siteId=1</w:t>
      </w:r>
      <w:r>
        <w:rPr>
          <w:rFonts w:ascii="Times New Roman" w:eastAsia="仿宋_GB2312" w:hAnsi="Times New Roman" w:hint="eastAsia"/>
          <w:color w:val="000000" w:themeColor="text1"/>
          <w:sz w:val="24"/>
          <w:szCs w:val="24"/>
        </w:rPr>
        <w:t>）</w:t>
      </w:r>
      <w:r>
        <w:rPr>
          <w:rFonts w:ascii="仿宋_GB2312" w:eastAsia="仿宋_GB2312" w:hAnsi="仿宋_GB2312" w:cs="仿宋_GB2312" w:hint="eastAsia"/>
          <w:color w:val="000000" w:themeColor="text1"/>
          <w:sz w:val="24"/>
          <w:szCs w:val="24"/>
        </w:rPr>
        <w:t>的“政府采购”板块的电子商城、网上竞价系、政府采购招标、批量集中采购和协议供货上采购。（附件</w:t>
      </w:r>
      <w:r>
        <w:rPr>
          <w:rFonts w:ascii="仿宋_GB2312" w:eastAsia="仿宋_GB2312" w:hAnsi="仿宋_GB2312" w:cs="仿宋_GB2312"/>
          <w:color w:val="000000" w:themeColor="text1"/>
          <w:sz w:val="24"/>
          <w:szCs w:val="24"/>
        </w:rPr>
        <w:t>6：广州市财政局关于调整我市政府采购限额标准的通知、广州市教育局关于转发广州市政府集中采购目录及采购限额标准（2015年）的通知）</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Ⅰ</w:t>
      </w:r>
      <w:r>
        <w:rPr>
          <w:rFonts w:ascii="仿宋_GB2312" w:eastAsia="仿宋_GB2312" w:hAnsi="仿宋_GB2312" w:cs="仿宋_GB2312"/>
          <w:color w:val="000000" w:themeColor="text1"/>
          <w:sz w:val="24"/>
          <w:szCs w:val="24"/>
        </w:rPr>
        <w:t>.电子商城采购。在电子商城采购的产品，用户填采购申请前须先在电子商城上查找拟购产品的品牌型号技术指标，节能产品清单内的产品同时确保必须在节能清单内。（附件7：2</w:t>
      </w:r>
      <w:r>
        <w:rPr>
          <w:rFonts w:ascii="仿宋_GB2312" w:eastAsia="仿宋_GB2312" w:hAnsi="仿宋_GB2312" w:cs="仿宋_GB2312" w:hint="eastAsia"/>
          <w:color w:val="000000" w:themeColor="text1"/>
          <w:sz w:val="24"/>
          <w:szCs w:val="24"/>
        </w:rPr>
        <w:t>4</w:t>
      </w:r>
      <w:r>
        <w:rPr>
          <w:rFonts w:ascii="仿宋_GB2312" w:eastAsia="仿宋_GB2312" w:hAnsi="仿宋_GB2312" w:cs="仿宋_GB2312"/>
          <w:color w:val="000000" w:themeColor="text1"/>
          <w:sz w:val="24"/>
          <w:szCs w:val="24"/>
        </w:rPr>
        <w:t>期节能清单。注意：节能清单每年更新两次，收到新一期的节能清单设备处会在学校主页和设备处网站发通知。）</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Ⅱ</w:t>
      </w:r>
      <w:r>
        <w:rPr>
          <w:rFonts w:ascii="仿宋_GB2312" w:eastAsia="仿宋_GB2312" w:hAnsi="仿宋_GB2312" w:cs="仿宋_GB2312"/>
          <w:color w:val="000000" w:themeColor="text1"/>
          <w:sz w:val="24"/>
          <w:szCs w:val="24"/>
        </w:rPr>
        <w:t>.交易中心网上竞价或公开招标采购。在电子商城上没有的，节能清单产品用户</w:t>
      </w:r>
      <w:r>
        <w:rPr>
          <w:rFonts w:ascii="仿宋_GB2312" w:eastAsia="仿宋_GB2312" w:hAnsi="仿宋_GB2312" w:cs="仿宋_GB2312"/>
          <w:color w:val="000000" w:themeColor="text1"/>
          <w:sz w:val="24"/>
          <w:szCs w:val="24"/>
        </w:rPr>
        <w:lastRenderedPageBreak/>
        <w:t>从“2</w:t>
      </w:r>
      <w:r>
        <w:rPr>
          <w:rFonts w:ascii="仿宋_GB2312" w:eastAsia="仿宋_GB2312" w:hAnsi="仿宋_GB2312" w:cs="仿宋_GB2312" w:hint="eastAsia"/>
          <w:color w:val="000000" w:themeColor="text1"/>
          <w:sz w:val="24"/>
          <w:szCs w:val="24"/>
        </w:rPr>
        <w:t>4</w:t>
      </w:r>
      <w:r>
        <w:rPr>
          <w:rFonts w:ascii="仿宋_GB2312" w:eastAsia="仿宋_GB2312" w:hAnsi="仿宋_GB2312" w:cs="仿宋_GB2312"/>
          <w:color w:val="000000" w:themeColor="text1"/>
          <w:sz w:val="24"/>
          <w:szCs w:val="24"/>
        </w:rPr>
        <w:t>期节能清单”中确定拟购产品的技术指标，非节能清单的产品用户通过市场调研拟购产品的技术指标，然后由招标办在广州公共资源交易中心上进行网上竞价或委托广州公共资源交易中心公开招标。</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Ⅲ</w:t>
      </w:r>
      <w:r>
        <w:rPr>
          <w:rFonts w:ascii="仿宋_GB2312" w:eastAsia="仿宋_GB2312" w:hAnsi="仿宋_GB2312" w:cs="仿宋_GB2312"/>
          <w:color w:val="000000" w:themeColor="text1"/>
          <w:sz w:val="24"/>
          <w:szCs w:val="24"/>
        </w:rPr>
        <w:t>.批量集中采购。广州公共资源交易中心对台式计算机和便携式计算机每年分5次批量集中采购。各用户单位在广州大学采购管理系统提交采购申请，设备处受理各用户单位申报每期采购计划的截止时间为：第一期3月19日，第二期5月15日，第三期7月15日，第四期9月15日，第五期10月15日（如有调整另行通知）。批量集中采购周期通常为3-4个月（指从采购申请到设备到货）。（附件8：关于开展我市2018年度部分通用类品目批量集中采购工作的通知（穗财采〔2018〕44</w:t>
      </w:r>
      <w:r>
        <w:rPr>
          <w:rFonts w:ascii="仿宋_GB2312" w:eastAsia="仿宋_GB2312" w:hAnsi="仿宋_GB2312" w:cs="仿宋_GB2312" w:hint="eastAsia"/>
          <w:color w:val="000000" w:themeColor="text1"/>
          <w:sz w:val="24"/>
          <w:szCs w:val="24"/>
        </w:rPr>
        <w:t>号）、</w:t>
      </w:r>
      <w:r>
        <w:rPr>
          <w:rFonts w:ascii="仿宋_GB2312" w:eastAsia="仿宋_GB2312" w:hAnsi="仿宋_GB2312" w:cs="仿宋_GB2312"/>
          <w:color w:val="000000" w:themeColor="text1"/>
          <w:sz w:val="24"/>
          <w:szCs w:val="24"/>
        </w:rPr>
        <w:t>2018批量采购计算机配置标准）</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（二）采购项目预算</w:t>
      </w:r>
      <w:r>
        <w:rPr>
          <w:rFonts w:ascii="仿宋_GB2312" w:eastAsia="仿宋_GB2312" w:hAnsi="仿宋_GB2312" w:cs="仿宋_GB2312"/>
          <w:color w:val="000000" w:themeColor="text1"/>
          <w:sz w:val="24"/>
          <w:szCs w:val="24"/>
        </w:rPr>
        <w:t>3万元（个人科研经费20万元）以下</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非政府集中采购目录内产品用户部门可自行采购，鼓励用户部门通过高校网上竞价系统采购。其中实验耗材及低值品可通过学校定点供应商、电子商城或其它方式采购。</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（三）采购项目预算</w:t>
      </w:r>
      <w:r>
        <w:rPr>
          <w:rFonts w:ascii="仿宋_GB2312" w:eastAsia="仿宋_GB2312" w:hAnsi="仿宋_GB2312" w:cs="仿宋_GB2312"/>
          <w:color w:val="000000" w:themeColor="text1"/>
          <w:sz w:val="24"/>
          <w:szCs w:val="24"/>
        </w:rPr>
        <w:t>3万元（含）至50万元</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有明确品牌型号规格的设备通过广州大学网上竞价系统采购。访问方式：通过学校主页登录“数字广大”，在首页“我的服务”栏点击“竞价采购”图标，进入“全国高校仪器设备竞价网（广州大学）”，点击左边界面的“用户初选”进行竞价结果的初选操作。（附件</w:t>
      </w:r>
      <w:r>
        <w:rPr>
          <w:rFonts w:ascii="仿宋_GB2312" w:eastAsia="仿宋_GB2312" w:hAnsi="仿宋_GB2312" w:cs="仿宋_GB2312"/>
          <w:color w:val="000000" w:themeColor="text1"/>
          <w:sz w:val="24"/>
          <w:szCs w:val="24"/>
        </w:rPr>
        <w:t>9：广大[2018]69号（广州大学关于印发《广州大学网上竞价采购管理办法（试行）》的通知））</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无法明确品牌型号规格的通过校内零散采购。“用户部门成立询价小组，询价小组人员名单由用户部门党政联席会议或处务会议分期集中确认，询价小组由3人及以上的单数组成，其中包含用户代表1人及相关技术专家至少2人”。</w:t>
      </w:r>
      <w:r>
        <w:rPr>
          <w:rFonts w:ascii="仿宋_GB2312" w:eastAsia="仿宋_GB2312" w:hAnsi="仿宋_GB2312" w:cs="仿宋_GB2312"/>
          <w:color w:val="000000" w:themeColor="text1"/>
          <w:sz w:val="24"/>
          <w:szCs w:val="24"/>
        </w:rPr>
        <w:t>询价小组负责制定询价公告及询价文件；设备处在我校采购管理系统上发布询价公告。（附件10：广州大学校内零散采购询价公告、询价文件、报价格式）</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（四）采购项目预算</w:t>
      </w:r>
      <w:r>
        <w:rPr>
          <w:rFonts w:ascii="仿宋_GB2312" w:eastAsia="仿宋_GB2312" w:hAnsi="仿宋_GB2312" w:cs="仿宋_GB2312"/>
          <w:color w:val="000000" w:themeColor="text1"/>
          <w:sz w:val="24"/>
          <w:szCs w:val="24"/>
        </w:rPr>
        <w:t>50万元（含）至100万元</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校内集中采购：通过校内公开招标、竞争性磋商、竞争性谈判、询价、单一来源等方式采购。</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用户部门经申请审批、设备处和招标办审核后由招标办组织采购。</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（五）采购项目预算</w:t>
      </w:r>
      <w:r>
        <w:rPr>
          <w:rFonts w:ascii="仿宋_GB2312" w:eastAsia="仿宋_GB2312" w:hAnsi="仿宋_GB2312" w:cs="仿宋_GB2312"/>
          <w:color w:val="000000" w:themeColor="text1"/>
          <w:sz w:val="24"/>
          <w:szCs w:val="24"/>
        </w:rPr>
        <w:t>100万元（含）以上</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政府采购：通过公开招标、竞争性磋商、竞争性谈判、单一来源等方式采购。</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lastRenderedPageBreak/>
        <w:t>用户部门申请审批、设备处和招标办审核后由招标办委托招标代理机构采购。</w:t>
      </w:r>
    </w:p>
    <w:p w:rsidR="00E37845" w:rsidRDefault="00E22BDD">
      <w:pPr>
        <w:pStyle w:val="af4"/>
        <w:adjustRightInd w:val="0"/>
        <w:snapToGrid w:val="0"/>
        <w:spacing w:line="360" w:lineRule="auto"/>
        <w:ind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六、签订合同</w:t>
      </w:r>
    </w:p>
    <w:p w:rsidR="00E37845" w:rsidRDefault="00E22BDD">
      <w:pPr>
        <w:pStyle w:val="af4"/>
        <w:adjustRightInd w:val="0"/>
        <w:snapToGrid w:val="0"/>
        <w:spacing w:line="360" w:lineRule="auto"/>
        <w:ind w:firstLine="480"/>
        <w:rPr>
          <w:rFonts w:ascii="楷体_GB2312" w:eastAsia="楷体_GB2312" w:hAnsi="楷体_GB2312" w:cs="楷体_GB2312"/>
          <w:color w:val="000000" w:themeColor="text1"/>
          <w:sz w:val="24"/>
          <w:szCs w:val="24"/>
        </w:rPr>
      </w:pPr>
      <w:r>
        <w:rPr>
          <w:rFonts w:ascii="楷体_GB2312" w:eastAsia="楷体_GB2312" w:hAnsi="楷体_GB2312" w:cs="楷体_GB2312" w:hint="eastAsia"/>
          <w:color w:val="000000" w:themeColor="text1"/>
          <w:sz w:val="24"/>
          <w:szCs w:val="24"/>
        </w:rPr>
        <w:t xml:space="preserve">（一）合同文本 </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一般采购项目要求使用学校货物采购合同示范文本。国产货物使用“广州大学国内货物采购合同范本”；进口货物使用“广州大学进口货物采购合同（含“广州大学进口货物采购代理合同”）”范本；（附件</w:t>
      </w:r>
      <w:r>
        <w:rPr>
          <w:rFonts w:ascii="仿宋_GB2312" w:eastAsia="仿宋_GB2312" w:hAnsi="仿宋_GB2312" w:cs="仿宋_GB2312"/>
          <w:color w:val="000000" w:themeColor="text1"/>
          <w:sz w:val="24"/>
          <w:szCs w:val="24"/>
        </w:rPr>
        <w:t xml:space="preserve">11：“广州大学国内货物采购合同”范本和“广州大学进口货物采购合同、广州大学进口货物采购代理合同”范本）    </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政府集中采购机构要求使用其合同范本的，从其规定。</w:t>
      </w:r>
    </w:p>
    <w:p w:rsidR="00E37845" w:rsidRDefault="00E22BDD">
      <w:pPr>
        <w:pStyle w:val="af4"/>
        <w:adjustRightInd w:val="0"/>
        <w:snapToGrid w:val="0"/>
        <w:spacing w:line="360" w:lineRule="auto"/>
        <w:ind w:firstLine="480"/>
        <w:rPr>
          <w:rFonts w:ascii="楷体_GB2312" w:eastAsia="楷体_GB2312" w:hAnsi="楷体_GB2312" w:cs="楷体_GB2312"/>
          <w:color w:val="000000" w:themeColor="text1"/>
          <w:sz w:val="24"/>
          <w:szCs w:val="24"/>
        </w:rPr>
      </w:pPr>
      <w:r>
        <w:rPr>
          <w:rFonts w:ascii="楷体_GB2312" w:eastAsia="楷体_GB2312" w:hAnsi="楷体_GB2312" w:cs="楷体_GB2312" w:hint="eastAsia"/>
          <w:color w:val="000000" w:themeColor="text1"/>
          <w:sz w:val="24"/>
          <w:szCs w:val="24"/>
        </w:rPr>
        <w:t>（二）自行采购合同</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采购项目金额在</w:t>
      </w:r>
      <w:r>
        <w:rPr>
          <w:rFonts w:ascii="仿宋_GB2312" w:eastAsia="仿宋_GB2312" w:hAnsi="仿宋_GB2312" w:cs="仿宋_GB2312"/>
          <w:color w:val="000000" w:themeColor="text1"/>
          <w:sz w:val="24"/>
          <w:szCs w:val="24"/>
        </w:rPr>
        <w:t>3万元以下的采购项目，由用户决定是否签订书面采购合同。如需签，用户部门在采购管理系统的非系统内项目拟定合同中提交合同审核，审核通过后到设备处盖“广州大学设备合同专用章”。</w:t>
      </w:r>
    </w:p>
    <w:p w:rsidR="00E37845" w:rsidRDefault="00E22BDD">
      <w:pPr>
        <w:pStyle w:val="af4"/>
        <w:adjustRightInd w:val="0"/>
        <w:snapToGrid w:val="0"/>
        <w:spacing w:line="360" w:lineRule="auto"/>
        <w:ind w:firstLine="480"/>
        <w:rPr>
          <w:rFonts w:ascii="楷体_GB2312" w:eastAsia="楷体_GB2312" w:hAnsi="楷体_GB2312" w:cs="楷体_GB2312"/>
          <w:color w:val="000000" w:themeColor="text1"/>
          <w:sz w:val="24"/>
          <w:szCs w:val="24"/>
        </w:rPr>
      </w:pPr>
      <w:r>
        <w:rPr>
          <w:rFonts w:ascii="楷体_GB2312" w:eastAsia="楷体_GB2312" w:hAnsi="楷体_GB2312" w:cs="楷体_GB2312" w:hint="eastAsia"/>
          <w:color w:val="000000" w:themeColor="text1"/>
          <w:sz w:val="24"/>
          <w:szCs w:val="24"/>
        </w:rPr>
        <w:t>（三）校内零散采购合同</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广州大学网上竞价采购和校内零散采购合同由用户部门起草，设备处、财务处和审计处共同审核，</w:t>
      </w:r>
      <w:r>
        <w:rPr>
          <w:rFonts w:ascii="仿宋_GB2312" w:eastAsia="仿宋_GB2312" w:hAnsi="仿宋_GB2312" w:cs="仿宋_GB2312"/>
          <w:color w:val="000000" w:themeColor="text1"/>
          <w:sz w:val="24"/>
          <w:szCs w:val="24"/>
        </w:rPr>
        <w:t>20万元及以上的采购合同还须法律顾问室审核、设备处分管校领导签批，由用户部门签订（到设备处盖“广州大学设备合同专用章”）。</w:t>
      </w:r>
    </w:p>
    <w:p w:rsidR="00E37845" w:rsidRDefault="00E22BDD">
      <w:pPr>
        <w:pStyle w:val="af4"/>
        <w:adjustRightInd w:val="0"/>
        <w:snapToGrid w:val="0"/>
        <w:spacing w:line="360" w:lineRule="auto"/>
        <w:ind w:firstLine="480"/>
        <w:rPr>
          <w:rFonts w:ascii="楷体_GB2312" w:eastAsia="楷体_GB2312" w:hAnsi="楷体_GB2312" w:cs="楷体_GB2312"/>
          <w:color w:val="000000" w:themeColor="text1"/>
          <w:sz w:val="24"/>
          <w:szCs w:val="24"/>
        </w:rPr>
      </w:pPr>
      <w:r>
        <w:rPr>
          <w:rFonts w:ascii="楷体_GB2312" w:eastAsia="楷体_GB2312" w:hAnsi="楷体_GB2312" w:cs="楷体_GB2312" w:hint="eastAsia"/>
          <w:color w:val="000000" w:themeColor="text1"/>
          <w:sz w:val="24"/>
          <w:szCs w:val="24"/>
        </w:rPr>
        <w:t>（四）校内集中采购、政府采购合同</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校内集中采购与政府采购项目的采购合同由设备处起草，用户部门、财务处、审计处、法律顾问室共同审核，设备处分管校领导签批后由设备处签订。</w:t>
      </w:r>
    </w:p>
    <w:p w:rsidR="00E37845" w:rsidRDefault="00E22BDD">
      <w:pPr>
        <w:pStyle w:val="af4"/>
        <w:adjustRightInd w:val="0"/>
        <w:snapToGrid w:val="0"/>
        <w:spacing w:line="360" w:lineRule="auto"/>
        <w:ind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七、进口设备免税办理由设备处办理，用户部门配合。</w:t>
      </w:r>
    </w:p>
    <w:p w:rsidR="00E37845" w:rsidRDefault="00E22BDD">
      <w:pPr>
        <w:pStyle w:val="af4"/>
        <w:adjustRightInd w:val="0"/>
        <w:snapToGrid w:val="0"/>
        <w:spacing w:line="360" w:lineRule="auto"/>
        <w:ind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八、供货</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签订合同后，用户部门与供应商联系供货事宜。若供应商不供货或延期供货，应及时以书面形式告知设备处，设备处协调解决。</w:t>
      </w:r>
    </w:p>
    <w:p w:rsidR="00E37845" w:rsidRDefault="00E22BDD">
      <w:pPr>
        <w:pStyle w:val="af4"/>
        <w:adjustRightInd w:val="0"/>
        <w:snapToGrid w:val="0"/>
        <w:spacing w:line="360" w:lineRule="auto"/>
        <w:ind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九、付款</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用户部门按合同约定办理付款手续。</w:t>
      </w:r>
    </w:p>
    <w:p w:rsidR="00E37845" w:rsidRDefault="00E22BDD">
      <w:pPr>
        <w:pStyle w:val="af4"/>
        <w:adjustRightInd w:val="0"/>
        <w:snapToGrid w:val="0"/>
        <w:spacing w:line="360" w:lineRule="auto"/>
        <w:ind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设备处采购科地点：行政西楼后座</w:t>
      </w:r>
      <w:r>
        <w:rPr>
          <w:rFonts w:ascii="仿宋_GB2312" w:eastAsia="仿宋_GB2312" w:hAnsi="仿宋_GB2312" w:cs="仿宋_GB2312"/>
          <w:color w:val="000000" w:themeColor="text1"/>
          <w:sz w:val="24"/>
          <w:szCs w:val="24"/>
        </w:rPr>
        <w:t>428。电话：020-39366222（韦老师、劳老师），020-39386904</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叶老师</w:t>
      </w:r>
      <w:r>
        <w:rPr>
          <w:rFonts w:ascii="仿宋_GB2312" w:eastAsia="仿宋_GB2312" w:hAnsi="仿宋_GB2312" w:cs="仿宋_GB2312" w:hint="eastAsia"/>
          <w:color w:val="000000" w:themeColor="text1"/>
          <w:sz w:val="24"/>
          <w:szCs w:val="24"/>
        </w:rPr>
        <w:t>），020-39366223（</w:t>
      </w:r>
      <w:r>
        <w:rPr>
          <w:rFonts w:ascii="仿宋_GB2312" w:eastAsia="仿宋_GB2312" w:hAnsi="仿宋_GB2312" w:cs="仿宋_GB2312"/>
          <w:color w:val="000000" w:themeColor="text1"/>
          <w:sz w:val="24"/>
          <w:szCs w:val="24"/>
        </w:rPr>
        <w:t>姚老师</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w:t>
      </w:r>
    </w:p>
    <w:p w:rsidR="00E37845" w:rsidRDefault="00E22BDD">
      <w:pPr>
        <w:widowControl/>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sz w:val="24"/>
          <w:szCs w:val="24"/>
        </w:rPr>
        <w:br w:type="page"/>
      </w:r>
    </w:p>
    <w:p w:rsidR="00E37845" w:rsidRDefault="00E22BDD">
      <w:pPr>
        <w:pStyle w:val="1"/>
        <w:adjustRightInd w:val="0"/>
        <w:snapToGrid w:val="0"/>
        <w:spacing w:beforeLines="100" w:before="312" w:afterLines="100" w:after="312" w:line="360" w:lineRule="auto"/>
        <w:rPr>
          <w:rFonts w:ascii="微软雅黑" w:eastAsia="微软雅黑" w:hAnsi="微软雅黑" w:cs="微软雅黑"/>
        </w:rPr>
      </w:pPr>
      <w:bookmarkStart w:id="2935" w:name="_Toc20696"/>
      <w:bookmarkStart w:id="2936" w:name="_Toc15327"/>
      <w:bookmarkStart w:id="2937" w:name="_Toc15116"/>
      <w:bookmarkStart w:id="2938" w:name="_Toc31276"/>
      <w:bookmarkStart w:id="2939" w:name="_Toc9312"/>
      <w:bookmarkStart w:id="2940" w:name="_Toc5526"/>
      <w:bookmarkStart w:id="2941" w:name="_Toc11896"/>
      <w:bookmarkStart w:id="2942" w:name="_Toc8287"/>
      <w:bookmarkStart w:id="2943" w:name="_Toc12043"/>
      <w:bookmarkStart w:id="2944" w:name="_Toc18694"/>
      <w:bookmarkStart w:id="2945" w:name="_Toc16440"/>
      <w:bookmarkStart w:id="2946" w:name="_Toc2238"/>
      <w:bookmarkStart w:id="2947" w:name="_Toc519781040"/>
      <w:bookmarkStart w:id="2948" w:name="_Toc8157"/>
      <w:bookmarkStart w:id="2949" w:name="_Toc11546"/>
      <w:bookmarkStart w:id="2950" w:name="_Toc29297"/>
      <w:bookmarkStart w:id="2951" w:name="_Toc25086"/>
      <w:bookmarkStart w:id="2952" w:name="_Toc14771"/>
      <w:bookmarkStart w:id="2953" w:name="_Toc5876"/>
      <w:bookmarkStart w:id="2954" w:name="_Toc31774"/>
      <w:bookmarkStart w:id="2955" w:name="_Toc4543"/>
      <w:bookmarkStart w:id="2956" w:name="_Toc13108"/>
      <w:bookmarkStart w:id="2957" w:name="_Toc14353"/>
      <w:bookmarkStart w:id="2958" w:name="_Toc5435"/>
      <w:bookmarkStart w:id="2959" w:name="_Toc18610"/>
      <w:bookmarkStart w:id="2960" w:name="_Toc20644"/>
      <w:bookmarkStart w:id="2961" w:name="_Hlk519521881"/>
      <w:r>
        <w:rPr>
          <w:rFonts w:ascii="微软雅黑" w:eastAsia="微软雅黑" w:hAnsi="微软雅黑" w:cs="微软雅黑" w:hint="eastAsia"/>
        </w:rPr>
        <w:lastRenderedPageBreak/>
        <w:t>10.出国出境和对外学术交流</w:t>
      </w:r>
      <w:bookmarkStart w:id="2962" w:name="_Toc17785"/>
      <w:bookmarkStart w:id="2963" w:name="_Toc11251"/>
      <w:bookmarkStart w:id="2964" w:name="_Toc3722"/>
      <w:bookmarkStart w:id="2965" w:name="_Toc4596"/>
      <w:bookmarkStart w:id="2966" w:name="_Toc18121"/>
      <w:bookmarkStart w:id="2967" w:name="_Toc7292"/>
      <w:bookmarkStart w:id="2968" w:name="_Toc28340"/>
      <w:bookmarkStart w:id="2969" w:name="_Toc10828"/>
      <w:bookmarkStart w:id="2970" w:name="_Toc22867"/>
      <w:bookmarkStart w:id="2971" w:name="_Toc21766"/>
      <w:bookmarkStart w:id="2972" w:name="_Toc7488"/>
      <w:bookmarkStart w:id="2973" w:name="_Toc3625"/>
      <w:bookmarkStart w:id="2974" w:name="_Toc4913"/>
      <w:bookmarkStart w:id="2975" w:name="_Toc10917"/>
      <w:bookmarkStart w:id="2976" w:name="_Toc5766"/>
      <w:bookmarkStart w:id="2977" w:name="_Toc519781045"/>
      <w:bookmarkStart w:id="2978" w:name="_Toc9004"/>
      <w:bookmarkStart w:id="2979" w:name="_Toc26184"/>
      <w:bookmarkStart w:id="2980" w:name="_Toc8687"/>
      <w:bookmarkStart w:id="2981" w:name="_Toc16346"/>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982" w:name="_Toc29476"/>
      <w:bookmarkStart w:id="2983" w:name="_Toc21291"/>
      <w:bookmarkStart w:id="2984" w:name="_Toc8170"/>
      <w:bookmarkStart w:id="2985" w:name="_Toc8468"/>
      <w:bookmarkStart w:id="2986" w:name="_Toc9165"/>
      <w:bookmarkStart w:id="2987" w:name="_Toc14827"/>
      <w:r>
        <w:rPr>
          <w:rFonts w:ascii="黑体" w:eastAsia="黑体" w:hAnsi="黑体" w:cs="黑体" w:hint="eastAsia"/>
          <w:color w:val="000000" w:themeColor="text1"/>
          <w:sz w:val="28"/>
          <w:szCs w:val="28"/>
        </w:rPr>
        <w:t>10.1 因公临时出国（境）访问</w:t>
      </w:r>
      <w:bookmarkEnd w:id="2962"/>
      <w:bookmarkEnd w:id="2963"/>
      <w:bookmarkEnd w:id="2964"/>
      <w:bookmarkEnd w:id="2965"/>
      <w:bookmarkEnd w:id="2966"/>
      <w:bookmarkEnd w:id="2967"/>
      <w:bookmarkEnd w:id="2968"/>
      <w:bookmarkEnd w:id="2969"/>
      <w:bookmarkEnd w:id="2970"/>
      <w:bookmarkEnd w:id="2971"/>
      <w:r>
        <w:rPr>
          <w:rFonts w:ascii="黑体" w:eastAsia="黑体" w:hAnsi="黑体" w:cs="黑体" w:hint="eastAsia"/>
          <w:color w:val="000000" w:themeColor="text1"/>
          <w:sz w:val="28"/>
          <w:szCs w:val="28"/>
        </w:rPr>
        <w:t>规定（详见（广大〔2014〕96号）</w:t>
      </w:r>
      <w:bookmarkEnd w:id="2972"/>
      <w:bookmarkEnd w:id="2982"/>
      <w:bookmarkEnd w:id="2983"/>
      <w:bookmarkEnd w:id="2984"/>
      <w:bookmarkEnd w:id="2985"/>
      <w:bookmarkEnd w:id="2986"/>
      <w:bookmarkEnd w:id="2987"/>
    </w:p>
    <w:p w:rsidR="00E37845" w:rsidRDefault="00E22BDD">
      <w:pPr>
        <w:autoSpaceDE w:val="0"/>
        <w:autoSpaceDN w:val="0"/>
        <w:adjustRightInd w:val="0"/>
        <w:snapToGrid w:val="0"/>
        <w:spacing w:line="336"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一、国际交流与合作处是广州大学因公临时出国（境）管理的归口部门。</w:t>
      </w:r>
    </w:p>
    <w:p w:rsidR="00E37845" w:rsidRDefault="00E22BDD">
      <w:pPr>
        <w:autoSpaceDE w:val="0"/>
        <w:autoSpaceDN w:val="0"/>
        <w:adjustRightInd w:val="0"/>
        <w:snapToGrid w:val="0"/>
        <w:spacing w:line="336"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二、适用范围（停留时间在三个月以内）</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在职教职工短期出国（境）参加学术会议、访问、讲学、短期合作研究、竞赛、文艺演出，需要学校财务部门支付出访费用（包括个人课题或项目经费）的，必须办理因公临时出访审批手续并持因公护照出访；全日制在读学生（包括本科生、硕士研究生、博士研究生）短期出国（境）参加学术会议、访问、讲学、短期合作研究、竞赛、文艺演出，需要学校财务部门支付出访费用（包括课题或项目经费）的，必须办理校内因公临时出访审批手续并持因私护照出访。</w:t>
      </w:r>
    </w:p>
    <w:p w:rsidR="00E37845" w:rsidRDefault="00E22BDD">
      <w:pPr>
        <w:autoSpaceDE w:val="0"/>
        <w:autoSpaceDN w:val="0"/>
        <w:adjustRightInd w:val="0"/>
        <w:snapToGrid w:val="0"/>
        <w:spacing w:line="336"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三、审批原则和要求</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（一）因公临时出国（境）必须有明确的公务目的和实质内容。</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（二）出访人员的出访任务必须与自身的工作性质相符。</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（三）同一部门的主要领导原则上不得同团出访或同时分别率团出访同一国家或地区。</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（四）凡是专业人员完成的任务，原则上不派非专业人员出访。专题性的学术研讨会须提交论文或其他形式的研究成果，原则上同一论文或成果只派一人参加。</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（五）我校人员参加外单位组团出访，组团单位须先征求学校意见，由主管外事的校领导提出审批意见，国际交流与合作处负责行文答复组团单位。</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988" w:name="_Toc6085"/>
      <w:bookmarkStart w:id="2989" w:name="_Toc18876"/>
      <w:bookmarkStart w:id="2990" w:name="_Toc17891"/>
      <w:bookmarkStart w:id="2991" w:name="_Toc4569"/>
      <w:bookmarkStart w:id="2992" w:name="_Toc32105"/>
      <w:bookmarkStart w:id="2993" w:name="_Toc16349"/>
      <w:bookmarkStart w:id="2994" w:name="_Toc31727"/>
      <w:bookmarkStart w:id="2995" w:name="_Toc12255"/>
      <w:bookmarkStart w:id="2996" w:name="_Toc25164"/>
      <w:r>
        <w:rPr>
          <w:rFonts w:ascii="黑体" w:eastAsia="黑体" w:hAnsi="黑体" w:cs="黑体" w:hint="eastAsia"/>
          <w:color w:val="000000" w:themeColor="text1"/>
          <w:sz w:val="28"/>
          <w:szCs w:val="28"/>
        </w:rPr>
        <w:t>10.2 教学科研人员因公临时出国管理</w:t>
      </w:r>
      <w:bookmarkEnd w:id="2988"/>
      <w:bookmarkEnd w:id="2989"/>
      <w:bookmarkEnd w:id="2990"/>
      <w:r>
        <w:rPr>
          <w:rFonts w:ascii="黑体" w:eastAsia="黑体" w:hAnsi="黑体" w:cs="黑体" w:hint="eastAsia"/>
          <w:color w:val="000000" w:themeColor="text1"/>
          <w:sz w:val="28"/>
          <w:szCs w:val="28"/>
        </w:rPr>
        <w:t>工作实施办法（广大〔2016〕257号）</w:t>
      </w:r>
      <w:bookmarkEnd w:id="2991"/>
      <w:bookmarkEnd w:id="2992"/>
      <w:bookmarkEnd w:id="2993"/>
      <w:bookmarkEnd w:id="2994"/>
      <w:bookmarkEnd w:id="2995"/>
      <w:bookmarkEnd w:id="2996"/>
    </w:p>
    <w:p w:rsidR="00E37845" w:rsidRDefault="00E22BDD">
      <w:pPr>
        <w:autoSpaceDE w:val="0"/>
        <w:autoSpaceDN w:val="0"/>
        <w:adjustRightInd w:val="0"/>
        <w:snapToGrid w:val="0"/>
        <w:spacing w:line="336"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一、坚持学校党委对因公临时出国管理的集中统一领导，通过规范管理程序、健全管理机制，进一步加强包括对外学术交流合作在内的因公临时出国管理。</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坚持服务大局的意识。学校对外学术交流合作要着眼国家发展大局、广州市国家中心城市建设任务以及学校高水平大学建设的需要，以学科建设为核心，通过积极参与国际重大科学计划、科学工程和专业学术交流，实现国际合作研究与协同创新，加快提高学科水平，全面提升学校人才培养、科学研究的软实力、国际影响力和竞争力。</w:t>
      </w:r>
    </w:p>
    <w:p w:rsidR="00E37845" w:rsidRDefault="00E22BDD">
      <w:pPr>
        <w:pStyle w:val="ad"/>
        <w:widowControl w:val="0"/>
        <w:adjustRightInd w:val="0"/>
        <w:snapToGrid w:val="0"/>
        <w:spacing w:before="0" w:beforeAutospacing="0" w:after="0" w:afterAutospacing="0" w:line="336" w:lineRule="auto"/>
        <w:ind w:firstLineChars="200" w:firstLine="480"/>
        <w:jc w:val="both"/>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2"/>
        </w:rPr>
        <w:t>三、在因公临时出国管理中，教学科研人员出国开展学术交流合作要与其他性质的</w:t>
      </w:r>
      <w:r>
        <w:rPr>
          <w:rFonts w:ascii="仿宋_GB2312" w:eastAsia="仿宋_GB2312" w:hAnsi="仿宋_GB2312" w:cs="仿宋_GB2312" w:hint="eastAsia"/>
          <w:color w:val="000000" w:themeColor="text1"/>
          <w:kern w:val="2"/>
        </w:rPr>
        <w:lastRenderedPageBreak/>
        <w:t>出访有所区别。学术交流合作主要包括开展教育教学活动、科学研究、学术访问、出席重要国际学术会议以及执行国际学术组织履职任务等。其他出访主要指一般性中外校际和科研院所间的工作交流。</w:t>
      </w:r>
    </w:p>
    <w:p w:rsidR="00E37845" w:rsidRDefault="00E22BDD">
      <w:pPr>
        <w:pStyle w:val="ad"/>
        <w:widowControl w:val="0"/>
        <w:adjustRightInd w:val="0"/>
        <w:snapToGrid w:val="0"/>
        <w:spacing w:before="0" w:beforeAutospacing="0" w:after="0" w:afterAutospacing="0" w:line="336" w:lineRule="auto"/>
        <w:ind w:firstLineChars="200" w:firstLine="480"/>
        <w:jc w:val="both"/>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2"/>
        </w:rPr>
        <w:t>教学科研人员指学学校校直接从事教学和科研任务的人员（含退离休返聘人员），以及教师兼任中层领导干部职务的专家学者。</w:t>
      </w:r>
    </w:p>
    <w:p w:rsidR="00E37845" w:rsidRDefault="00E22BDD">
      <w:pPr>
        <w:pStyle w:val="ad"/>
        <w:widowControl w:val="0"/>
        <w:adjustRightInd w:val="0"/>
        <w:snapToGrid w:val="0"/>
        <w:spacing w:before="0" w:beforeAutospacing="0" w:after="0" w:afterAutospacing="0" w:line="336" w:lineRule="auto"/>
        <w:ind w:firstLineChars="200" w:firstLine="480"/>
        <w:jc w:val="both"/>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2"/>
        </w:rPr>
        <w:t>上述教学科研人员出国执行前项明确的学术交流合作任务，单位与个人的出国批次数、团组人数、在外停留天数根据实际需要安排。</w:t>
      </w:r>
    </w:p>
    <w:p w:rsidR="00E37845" w:rsidRDefault="00E22BDD">
      <w:pPr>
        <w:pStyle w:val="ad"/>
        <w:widowControl w:val="0"/>
        <w:adjustRightInd w:val="0"/>
        <w:snapToGrid w:val="0"/>
        <w:spacing w:before="0" w:beforeAutospacing="0" w:after="0" w:afterAutospacing="0" w:line="336" w:lineRule="auto"/>
        <w:ind w:firstLineChars="200" w:firstLine="480"/>
        <w:jc w:val="both"/>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2"/>
        </w:rPr>
        <w:t>学术交流合作以外的因公临时出国，仍执行现行《广州大学因公临时出国（境）访问管理规定》（广大〔</w:t>
      </w:r>
      <w:r>
        <w:rPr>
          <w:rFonts w:ascii="仿宋_GB2312" w:eastAsia="仿宋_GB2312" w:hAnsi="仿宋_GB2312" w:cs="仿宋_GB2312"/>
          <w:color w:val="000000" w:themeColor="text1"/>
          <w:kern w:val="2"/>
        </w:rPr>
        <w:t>2014〕96号）</w:t>
      </w:r>
      <w:r>
        <w:rPr>
          <w:rFonts w:ascii="仿宋_GB2312" w:eastAsia="仿宋_GB2312" w:hAnsi="仿宋_GB2312" w:cs="仿宋_GB2312" w:hint="eastAsia"/>
          <w:color w:val="000000" w:themeColor="text1"/>
          <w:kern w:val="2"/>
        </w:rPr>
        <w:t>。</w:t>
      </w:r>
    </w:p>
    <w:p w:rsidR="00E37845" w:rsidRDefault="00E22BDD">
      <w:pPr>
        <w:pStyle w:val="ad"/>
        <w:widowControl w:val="0"/>
        <w:adjustRightInd w:val="0"/>
        <w:snapToGrid w:val="0"/>
        <w:spacing w:before="0" w:beforeAutospacing="0" w:after="0" w:afterAutospacing="0" w:line="336" w:lineRule="auto"/>
        <w:ind w:firstLineChars="200" w:firstLine="480"/>
        <w:jc w:val="both"/>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2"/>
        </w:rPr>
        <w:t>五、科学制订科研人员出国开展学术交流合作年度计划，统筹规划和合理安排相关工作。年度计划由各部门向国际交流与合作处报备，不列入因公临时出国批次限量管理范围。对确需临时安排的计划外学术交流合作，应在个案报批时说明理由。</w:t>
      </w:r>
    </w:p>
    <w:p w:rsidR="00E37845" w:rsidRDefault="00E22BDD">
      <w:pPr>
        <w:pStyle w:val="ad"/>
        <w:widowControl w:val="0"/>
        <w:adjustRightInd w:val="0"/>
        <w:snapToGrid w:val="0"/>
        <w:spacing w:before="0" w:beforeAutospacing="0" w:after="0" w:afterAutospacing="0" w:line="336" w:lineRule="auto"/>
        <w:ind w:firstLineChars="200" w:firstLine="480"/>
        <w:jc w:val="both"/>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2"/>
        </w:rPr>
        <w:t>六、教学科研人员出国开展学术交流合作，由所在部门、科研管理部门、外事部门及校领导审批。各审批部门应各负其责，加强管理，提高审批效率，为教学科研人员出国开展学术交流合作提供便利和服务。国际交流与合作处为学校负责包括学术交流合作在内的因公临时出国管理工作的管理部门，纪委办（监察处）担负监督责任。</w:t>
      </w:r>
    </w:p>
    <w:p w:rsidR="00E37845" w:rsidRDefault="00E22BDD">
      <w:pPr>
        <w:pStyle w:val="ad"/>
        <w:widowControl w:val="0"/>
        <w:adjustRightInd w:val="0"/>
        <w:snapToGrid w:val="0"/>
        <w:spacing w:before="0" w:beforeAutospacing="0" w:after="0" w:afterAutospacing="0" w:line="336" w:lineRule="auto"/>
        <w:ind w:firstLineChars="200" w:firstLine="480"/>
        <w:jc w:val="both"/>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2"/>
        </w:rPr>
        <w:t>七、教学科研人员出国开展学术交流合作，应持因公护照。有以下特殊情况者，应说明理由并按程序报学校批准，可持普通护照出访：（一）</w:t>
      </w:r>
      <w:r>
        <w:rPr>
          <w:rFonts w:ascii="仿宋_GB2312" w:eastAsia="仿宋_GB2312" w:hAnsi="仿宋_GB2312" w:cs="仿宋_GB2312"/>
          <w:color w:val="000000" w:themeColor="text1"/>
          <w:kern w:val="2"/>
        </w:rPr>
        <w:t>持有国外长期居留许可人员、外籍和港澳台地区籍的教学科研人员、离退休返聘人员；（二）因国家、省、市临时出访任务，需要学校配合安排出访的人员，以及国际组织或学术活动的临时要求，来不及办理持因公护照出访报批和签证程序者；（3）因所赴国家（地区）签证材料要求原因，持因公护照无法或不能按时获得出访签证者。</w:t>
      </w:r>
    </w:p>
    <w:p w:rsidR="00E37845" w:rsidRDefault="00E22BDD">
      <w:pPr>
        <w:pStyle w:val="ad"/>
        <w:widowControl w:val="0"/>
        <w:adjustRightInd w:val="0"/>
        <w:snapToGrid w:val="0"/>
        <w:spacing w:before="0" w:beforeAutospacing="0" w:after="0" w:afterAutospacing="0" w:line="336" w:lineRule="auto"/>
        <w:ind w:firstLineChars="200" w:firstLine="480"/>
        <w:jc w:val="both"/>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2"/>
        </w:rPr>
        <w:t>八、教学科研人员因公临时出国，不得影响正常的教学任务和职责范围内的教学管理工作。</w:t>
      </w:r>
    </w:p>
    <w:p w:rsidR="00E37845" w:rsidRDefault="00E22BDD">
      <w:pPr>
        <w:pStyle w:val="ad"/>
        <w:widowControl w:val="0"/>
        <w:adjustRightInd w:val="0"/>
        <w:snapToGrid w:val="0"/>
        <w:spacing w:before="0" w:beforeAutospacing="0" w:after="0" w:afterAutospacing="0" w:line="336" w:lineRule="auto"/>
        <w:ind w:firstLineChars="200" w:firstLine="480"/>
        <w:jc w:val="both"/>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2"/>
        </w:rPr>
        <w:t>九、切实加强教学科研人员出国开展学术交流合作经费的预算管理，认真执行因公临时出国经费先行审核制度，由经费审批部门和任务审批部门实行审批联动。</w:t>
      </w:r>
    </w:p>
    <w:p w:rsidR="00E37845" w:rsidRDefault="00E22BDD">
      <w:pPr>
        <w:pStyle w:val="ad"/>
        <w:widowControl w:val="0"/>
        <w:adjustRightInd w:val="0"/>
        <w:snapToGrid w:val="0"/>
        <w:spacing w:before="0" w:beforeAutospacing="0" w:after="0" w:afterAutospacing="0" w:line="336" w:lineRule="auto"/>
        <w:ind w:firstLineChars="200" w:firstLine="480"/>
        <w:jc w:val="both"/>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2"/>
        </w:rPr>
        <w:t>十、教学科研人员使用国家、省、市科技计划（专项、基金）等经费出国开展学术交流合作，应按照有关管理办法和制度规定执行，体现既符合科研活动规律、又符合预算管理要求的原则。</w:t>
      </w:r>
    </w:p>
    <w:p w:rsidR="00E37845" w:rsidRDefault="00E22BDD">
      <w:pPr>
        <w:pStyle w:val="ad"/>
        <w:widowControl w:val="0"/>
        <w:adjustRightInd w:val="0"/>
        <w:snapToGrid w:val="0"/>
        <w:spacing w:before="0" w:beforeAutospacing="0" w:after="0" w:afterAutospacing="0" w:line="336" w:lineRule="auto"/>
        <w:ind w:firstLine="420"/>
        <w:jc w:val="both"/>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2"/>
        </w:rPr>
        <w:t>十一、教学科研人员如需持普通护照出国开展学术交流合作，应凭学校批件、出国证件及出入境记录复印件，报销与学术交流合作相关的费用。</w:t>
      </w:r>
    </w:p>
    <w:p w:rsidR="00E37845" w:rsidRDefault="00E22BDD">
      <w:pPr>
        <w:pStyle w:val="ad"/>
        <w:widowControl w:val="0"/>
        <w:adjustRightInd w:val="0"/>
        <w:snapToGrid w:val="0"/>
        <w:spacing w:before="0" w:beforeAutospacing="0" w:after="0" w:afterAutospacing="0" w:line="336" w:lineRule="auto"/>
        <w:ind w:firstLineChars="200" w:firstLine="480"/>
        <w:jc w:val="both"/>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2"/>
        </w:rPr>
        <w:t>十二、教学科研人员出国开展学术交流合作所执行的任务、涉及的国家（地区）和</w:t>
      </w:r>
      <w:r>
        <w:rPr>
          <w:rFonts w:ascii="仿宋_GB2312" w:eastAsia="仿宋_GB2312" w:hAnsi="仿宋_GB2312" w:cs="仿宋_GB2312" w:hint="eastAsia"/>
          <w:color w:val="000000" w:themeColor="text1"/>
          <w:kern w:val="2"/>
        </w:rPr>
        <w:lastRenderedPageBreak/>
        <w:t>在外日程等按规定公示，接受监督。未按规定公示的不予审批，不予核销相关费用。</w:t>
      </w:r>
    </w:p>
    <w:p w:rsidR="00E37845" w:rsidRDefault="00E22BDD">
      <w:pPr>
        <w:pStyle w:val="ad"/>
        <w:widowControl w:val="0"/>
        <w:adjustRightInd w:val="0"/>
        <w:snapToGrid w:val="0"/>
        <w:spacing w:before="0" w:beforeAutospacing="0" w:after="0" w:afterAutospacing="0" w:line="336" w:lineRule="auto"/>
        <w:ind w:firstLineChars="200" w:firstLine="480"/>
        <w:jc w:val="both"/>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kern w:val="2"/>
        </w:rPr>
        <w:t>十三、加强绩效评估。教学科研人员出国开展学术交流合作要在回国后</w:t>
      </w:r>
      <w:r>
        <w:rPr>
          <w:rFonts w:ascii="仿宋_GB2312" w:eastAsia="仿宋_GB2312" w:hAnsi="仿宋_GB2312" w:cs="仿宋_GB2312"/>
          <w:color w:val="000000" w:themeColor="text1"/>
          <w:kern w:val="2"/>
        </w:rPr>
        <w:t>15天内向国际交流处提交总结报告；学校将组织专家组对交流合作成果和经费使用绩效进行评估。</w:t>
      </w:r>
    </w:p>
    <w:p w:rsidR="00E37845" w:rsidRDefault="00E22BDD">
      <w:pPr>
        <w:pStyle w:val="ad"/>
        <w:widowControl w:val="0"/>
        <w:adjustRightInd w:val="0"/>
        <w:snapToGrid w:val="0"/>
        <w:spacing w:before="0" w:beforeAutospacing="0" w:after="0" w:afterAutospacing="0" w:line="336" w:lineRule="auto"/>
        <w:ind w:firstLineChars="200" w:firstLine="480"/>
        <w:jc w:val="both"/>
        <w:rPr>
          <w:rFonts w:ascii="仿宋_GB2312" w:eastAsia="仿宋_GB2312" w:hAnsi="仿宋" w:cs="仿宋_GB2312"/>
          <w:color w:val="000000" w:themeColor="text1"/>
          <w:sz w:val="28"/>
          <w:szCs w:val="28"/>
        </w:rPr>
      </w:pPr>
      <w:r>
        <w:rPr>
          <w:rFonts w:ascii="仿宋_GB2312" w:eastAsia="仿宋_GB2312" w:hAnsi="仿宋_GB2312" w:cs="仿宋_GB2312" w:hint="eastAsia"/>
          <w:color w:val="000000" w:themeColor="text1"/>
          <w:kern w:val="2"/>
        </w:rPr>
        <w:t>十四、加强监督检查和责任追究。国际交流与合作处、人事处、社科处、科技处、财务处等管理部门采取联合检查或专项督查等方式加强我校因公临时出国管理工作。对教学科研人员以对外学术交流合作名义变相公款出国旅游等违规违纪行为，相关部门将严肃追究责任，并依规依纪惩处</w:t>
      </w:r>
      <w:r>
        <w:rPr>
          <w:rFonts w:ascii="仿宋_GB2312" w:eastAsia="仿宋_GB2312" w:hAnsi="仿宋" w:cs="仿宋_GB2312" w:hint="eastAsia"/>
          <w:color w:val="000000" w:themeColor="text1"/>
          <w:kern w:val="2"/>
          <w:sz w:val="28"/>
          <w:szCs w:val="28"/>
        </w:rPr>
        <w:t>。</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2997" w:name="_Toc519781047"/>
      <w:bookmarkStart w:id="2998" w:name="_Toc28835"/>
      <w:bookmarkStart w:id="2999" w:name="_Toc16414"/>
      <w:bookmarkStart w:id="3000" w:name="_Toc6144"/>
      <w:bookmarkStart w:id="3001" w:name="_Toc21079"/>
      <w:bookmarkStart w:id="3002" w:name="_Toc12555"/>
      <w:bookmarkStart w:id="3003" w:name="_Toc7046"/>
      <w:bookmarkStart w:id="3004" w:name="_Toc10644"/>
      <w:bookmarkStart w:id="3005" w:name="_Toc1570"/>
      <w:bookmarkStart w:id="3006" w:name="_Toc1969"/>
      <w:bookmarkStart w:id="3007" w:name="_Toc28684"/>
      <w:bookmarkStart w:id="3008" w:name="_Toc426"/>
      <w:bookmarkStart w:id="3009" w:name="_Toc8217"/>
      <w:bookmarkStart w:id="3010" w:name="_Toc5594"/>
      <w:bookmarkStart w:id="3011" w:name="_Toc23935"/>
      <w:bookmarkStart w:id="3012" w:name="_Toc25941"/>
      <w:bookmarkStart w:id="3013" w:name="_Toc30432"/>
      <w:bookmarkStart w:id="3014" w:name="_Toc29326"/>
      <w:bookmarkStart w:id="3015" w:name="_Toc27355"/>
      <w:bookmarkStart w:id="3016" w:name="_Toc26903"/>
      <w:bookmarkStart w:id="3017" w:name="_Toc13046"/>
      <w:bookmarkStart w:id="3018" w:name="_Toc16185"/>
      <w:bookmarkStart w:id="3019" w:name="_Toc14330"/>
      <w:bookmarkStart w:id="3020" w:name="_Toc2281"/>
      <w:bookmarkStart w:id="3021" w:name="_Toc24347"/>
      <w:bookmarkStart w:id="3022" w:name="_Toc5241"/>
      <w:bookmarkEnd w:id="2973"/>
      <w:bookmarkEnd w:id="2974"/>
      <w:bookmarkEnd w:id="2975"/>
      <w:bookmarkEnd w:id="2976"/>
      <w:bookmarkEnd w:id="2977"/>
      <w:bookmarkEnd w:id="2978"/>
      <w:bookmarkEnd w:id="2979"/>
      <w:bookmarkEnd w:id="2980"/>
      <w:bookmarkEnd w:id="2981"/>
      <w:r>
        <w:rPr>
          <w:rFonts w:ascii="黑体" w:eastAsia="黑体" w:hAnsi="黑体" w:cs="黑体" w:hint="eastAsia"/>
          <w:color w:val="000000" w:themeColor="text1"/>
          <w:sz w:val="28"/>
          <w:szCs w:val="28"/>
        </w:rPr>
        <w:t>10.3 因公临时出国手续办理流程</w:t>
      </w:r>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因公临时出国手续办理流程：学院审批</w:t>
      </w:r>
      <w:r>
        <w:rPr>
          <w:rFonts w:ascii="仿宋_GB2312" w:eastAsia="仿宋_GB2312" w:hAnsi="仿宋_GB2312" w:cs="仿宋_GB2312"/>
          <w:color w:val="000000" w:themeColor="text1"/>
          <w:kern w:val="0"/>
          <w:sz w:val="24"/>
          <w:szCs w:val="24"/>
        </w:rPr>
        <w:t>-校内各部门审批-校领导审批-广州市外办审批-广州市外办送各出访国领馆办理签证-行前教育-取证出发</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一、广州大学因公临时出国或赴港澳台地区审批表</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（一）出访任务和详细理由：简要阐明因公出访的时间、地点、人物、重要性和必要性</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（二）出访地点及停留天数：出访国别名称，停留天数以离境当天算起，入境当天结束</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（三）途经地点：转机地点及停留时长</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（四）人数：团组所有成员数</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（五）出访时间：时间以离境当天算起，入境当天结束</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（六）费用来源：写明详细的经费编号</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（七）出访人所在部门审核意见：出访人所在部门负责人签字、盖章</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（八）业务主管部门审核意见：公派访学由人事处签字、盖章；学术交流由科研处签字、盖章</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（九）保密办审核意见：保密办签字、盖章</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（十）</w:t>
      </w:r>
      <w:r>
        <w:rPr>
          <w:rFonts w:ascii="仿宋_GB2312" w:eastAsia="仿宋_GB2312" w:hAnsi="仿宋_GB2312" w:cs="仿宋_GB2312"/>
          <w:color w:val="000000" w:themeColor="text1"/>
          <w:kern w:val="0"/>
          <w:sz w:val="24"/>
          <w:szCs w:val="24"/>
        </w:rPr>
        <w:t>出访人姓名、身份证号、出生地、工作部门、职务及职称</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（十一）</w:t>
      </w:r>
      <w:r>
        <w:rPr>
          <w:rFonts w:ascii="仿宋_GB2312" w:eastAsia="仿宋_GB2312" w:hAnsi="仿宋_GB2312" w:cs="仿宋_GB2312"/>
          <w:color w:val="000000" w:themeColor="text1"/>
          <w:kern w:val="0"/>
          <w:sz w:val="24"/>
          <w:szCs w:val="24"/>
        </w:rPr>
        <w:t>出访团长（负责人）签字</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（十二）</w:t>
      </w:r>
      <w:r>
        <w:rPr>
          <w:rFonts w:ascii="仿宋_GB2312" w:eastAsia="仿宋_GB2312" w:hAnsi="仿宋_GB2312" w:cs="仿宋_GB2312"/>
          <w:color w:val="000000" w:themeColor="text1"/>
          <w:kern w:val="0"/>
          <w:sz w:val="24"/>
          <w:szCs w:val="24"/>
        </w:rPr>
        <w:t>外事部门审核意见：由国际交流与合作处负责人签字、盖章</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（十三）</w:t>
      </w:r>
      <w:r>
        <w:rPr>
          <w:rFonts w:ascii="仿宋_GB2312" w:eastAsia="仿宋_GB2312" w:hAnsi="仿宋_GB2312" w:cs="仿宋_GB2312"/>
          <w:color w:val="000000" w:themeColor="text1"/>
          <w:kern w:val="0"/>
          <w:sz w:val="24"/>
          <w:szCs w:val="24"/>
        </w:rPr>
        <w:t>学校主管领导审核意见：由国际交流与合作处人员找校领导签字、盖章</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（十四）</w:t>
      </w:r>
      <w:r>
        <w:rPr>
          <w:rFonts w:ascii="仿宋_GB2312" w:eastAsia="仿宋_GB2312" w:hAnsi="仿宋_GB2312" w:cs="仿宋_GB2312"/>
          <w:color w:val="000000" w:themeColor="text1"/>
          <w:kern w:val="0"/>
          <w:sz w:val="24"/>
          <w:szCs w:val="24"/>
        </w:rPr>
        <w:t>广州大学因公出国或赴港澳台人员经费审批表</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各国各城市标准不一，请参照省财厅、省外事办关于转发财政厅部外交部《因公临时出国经费管理办法》的通知（粤财行</w:t>
      </w:r>
      <w:r>
        <w:rPr>
          <w:rFonts w:ascii="仿宋_GB2312" w:eastAsia="仿宋_GB2312" w:hAnsi="仿宋_GB2312" w:cs="仿宋_GB2312"/>
          <w:color w:val="000000" w:themeColor="text1"/>
          <w:kern w:val="0"/>
          <w:sz w:val="24"/>
          <w:szCs w:val="24"/>
        </w:rPr>
        <w:t>[2014]11号）执行。</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lastRenderedPageBreak/>
        <w:t>1.</w:t>
      </w:r>
      <w:r>
        <w:rPr>
          <w:rFonts w:ascii="仿宋_GB2312" w:eastAsia="仿宋_GB2312" w:hAnsi="仿宋_GB2312" w:cs="仿宋_GB2312"/>
          <w:color w:val="000000" w:themeColor="text1"/>
          <w:kern w:val="0"/>
          <w:sz w:val="24"/>
          <w:szCs w:val="24"/>
        </w:rPr>
        <w:t>经费来源主管部门审核意见：签字、盖章</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2.</w:t>
      </w:r>
      <w:r>
        <w:rPr>
          <w:rFonts w:ascii="仿宋_GB2312" w:eastAsia="仿宋_GB2312" w:hAnsi="仿宋_GB2312" w:cs="仿宋_GB2312"/>
          <w:color w:val="000000" w:themeColor="text1"/>
          <w:kern w:val="0"/>
          <w:sz w:val="24"/>
          <w:szCs w:val="24"/>
        </w:rPr>
        <w:t>外事处审核意见：由国际交流与合作处人员找处领导签字</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二、备案表（涉密人员需一式两份）：</w:t>
      </w:r>
      <w:r>
        <w:rPr>
          <w:rFonts w:ascii="仿宋_GB2312" w:eastAsia="仿宋_GB2312" w:hAnsi="仿宋_GB2312" w:cs="仿宋_GB2312"/>
          <w:color w:val="000000" w:themeColor="text1"/>
          <w:kern w:val="0"/>
          <w:sz w:val="24"/>
          <w:szCs w:val="24"/>
        </w:rPr>
        <w:t>1.需详细写明出访人个人信息及直</w:t>
      </w:r>
      <w:r>
        <w:rPr>
          <w:rFonts w:ascii="仿宋_GB2312" w:eastAsia="仿宋_GB2312" w:hAnsi="仿宋_GB2312" w:cs="仿宋_GB2312" w:hint="eastAsia"/>
          <w:color w:val="000000" w:themeColor="text1"/>
          <w:kern w:val="0"/>
          <w:sz w:val="24"/>
          <w:szCs w:val="24"/>
        </w:rPr>
        <w:t>系血亲信息（居住地址需详细到门牌号，需说明是否取得境外长期居留权或国籍）；2.出访任务、所赴地区及停留时间：例</w:t>
      </w:r>
      <w:r>
        <w:rPr>
          <w:rFonts w:ascii="仿宋_GB2312" w:eastAsia="仿宋_GB2312" w:hAnsi="仿宋_GB2312" w:cs="仿宋_GB2312"/>
          <w:color w:val="000000" w:themeColor="text1"/>
          <w:kern w:val="0"/>
          <w:sz w:val="24"/>
          <w:szCs w:val="24"/>
        </w:rPr>
        <w:t>xx年xx月xx日-xx年xx月xx日赴***大学参加第十三届计算机密码安全大会，共XX天</w:t>
      </w:r>
      <w:r>
        <w:rPr>
          <w:rFonts w:ascii="仿宋_GB2312" w:eastAsia="仿宋_GB2312" w:hAnsi="仿宋_GB2312" w:cs="仿宋_GB2312" w:hint="eastAsia"/>
          <w:color w:val="000000" w:themeColor="text1"/>
          <w:kern w:val="0"/>
          <w:sz w:val="24"/>
          <w:szCs w:val="24"/>
        </w:rPr>
        <w:t>；3</w:t>
      </w:r>
      <w:r>
        <w:rPr>
          <w:rFonts w:ascii="仿宋_GB2312" w:eastAsia="仿宋_GB2312" w:hAnsi="仿宋_GB2312" w:cs="仿宋_GB2312"/>
          <w:color w:val="000000" w:themeColor="text1"/>
          <w:kern w:val="0"/>
          <w:sz w:val="24"/>
          <w:szCs w:val="24"/>
        </w:rPr>
        <w:t>.</w:t>
      </w:r>
      <w:r>
        <w:rPr>
          <w:rFonts w:ascii="仿宋_GB2312" w:eastAsia="仿宋_GB2312" w:hAnsi="仿宋_GB2312" w:cs="仿宋_GB2312" w:hint="eastAsia"/>
          <w:color w:val="000000" w:themeColor="text1"/>
          <w:kern w:val="0"/>
          <w:sz w:val="24"/>
          <w:szCs w:val="24"/>
        </w:rPr>
        <w:t>人员派出单位意见：由人事处签字、盖章</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三、本土邀请函：由出访国邀请单位发出，需明确说明邀请人员、时间、地点、任务，外文版邀请函需出访人自行翻译成中文版本，中外文版本各一份</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四、日程安排表：需上下午详细行程，不能出现“考察”、“参观”字眼；需详细写明何时何地与何人从事何种活动，内容详实</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五、身份证复印件一式两份</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六、会议议程：如参加会议，需要邀请方提供会议议程，中外文版本各一份</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七、出访请示函：由出访人阐明</w:t>
      </w:r>
      <w:r>
        <w:rPr>
          <w:rFonts w:ascii="仿宋_GB2312" w:eastAsia="仿宋_GB2312" w:hAnsi="仿宋_GB2312" w:cs="仿宋_GB2312"/>
          <w:color w:val="000000" w:themeColor="text1"/>
          <w:sz w:val="24"/>
          <w:szCs w:val="24"/>
        </w:rPr>
        <w:t>**学院**职务人员出访国别、天数、具体出访任务及出访预期效果</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八、因公临时出国</w:t>
      </w:r>
      <w:r>
        <w:rPr>
          <w:rFonts w:ascii="仿宋_GB2312" w:eastAsia="仿宋_GB2312" w:hAnsi="仿宋_GB2312" w:cs="仿宋_GB2312"/>
          <w:color w:val="000000" w:themeColor="text1"/>
          <w:kern w:val="0"/>
          <w:sz w:val="24"/>
          <w:szCs w:val="24"/>
        </w:rPr>
        <w:t>&amp;</w:t>
      </w:r>
      <w:r>
        <w:rPr>
          <w:rFonts w:ascii="仿宋_GB2312" w:eastAsia="仿宋_GB2312" w:hAnsi="仿宋_GB2312" w:cs="仿宋_GB2312" w:hint="eastAsia"/>
          <w:color w:val="000000" w:themeColor="text1"/>
          <w:kern w:val="0"/>
          <w:sz w:val="24"/>
          <w:szCs w:val="24"/>
        </w:rPr>
        <w:t>赴港澳任务和预算审批意见表：由国际交流和合作处审核盖章后再由财务处审核盖章，提供原件和复印件各一份</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九、广州大学涉密、重要岗位人员出国（境）审批表（仅供涉密人员需要，详询保密办）</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十、广州市因公临时出国事前信息公开表：按表格填写各项内容，由国际交流与合作处进行公示</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十一、出访报名表：按表格填写个人信息各项内容</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十二、因公护照近照</w:t>
      </w:r>
      <w:r>
        <w:rPr>
          <w:rFonts w:ascii="仿宋_GB2312" w:eastAsia="仿宋_GB2312" w:hAnsi="仿宋_GB2312" w:cs="仿宋_GB2312"/>
          <w:color w:val="000000" w:themeColor="text1"/>
          <w:kern w:val="0"/>
          <w:sz w:val="24"/>
          <w:szCs w:val="24"/>
        </w:rPr>
        <w:t xml:space="preserve">2张及照片回执签名，光面纸晒制，影像清晰，不发  </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灰、不虚影，不能使用珠纹相纸、不能使用打印相片</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十三、中英文论文摘要或发言摘要：有提交论文或者会议发言者需提供</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十四、合作协议复印件：专项合作，如带学生实习，需提供与实习接洽单位签署的协议复印件</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备注：我校外事系统拟于</w:t>
      </w:r>
      <w:r>
        <w:rPr>
          <w:rFonts w:ascii="仿宋_GB2312" w:eastAsia="仿宋_GB2312" w:hAnsi="仿宋_GB2312" w:cs="仿宋_GB2312"/>
          <w:color w:val="000000" w:themeColor="text1"/>
          <w:kern w:val="0"/>
          <w:sz w:val="24"/>
          <w:szCs w:val="24"/>
        </w:rPr>
        <w:t>2018年5月上线，办事流程如有更改，请留意OA通知公告。</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3023" w:name="_Toc21798"/>
      <w:bookmarkStart w:id="3024" w:name="_Toc31694"/>
      <w:bookmarkStart w:id="3025" w:name="_Toc25493"/>
      <w:bookmarkStart w:id="3026" w:name="_Toc27836"/>
      <w:bookmarkStart w:id="3027" w:name="_Toc11659"/>
      <w:bookmarkStart w:id="3028" w:name="_Toc22483"/>
      <w:bookmarkStart w:id="3029" w:name="_Toc28196"/>
      <w:bookmarkStart w:id="3030" w:name="_Toc20553"/>
      <w:bookmarkStart w:id="3031" w:name="_Toc411"/>
      <w:bookmarkStart w:id="3032" w:name="_Toc27065"/>
      <w:bookmarkStart w:id="3033" w:name="_Toc11213"/>
      <w:bookmarkStart w:id="3034" w:name="_Toc10264"/>
      <w:bookmarkStart w:id="3035" w:name="_Toc15315"/>
      <w:bookmarkStart w:id="3036" w:name="_Toc18690"/>
      <w:bookmarkStart w:id="3037" w:name="_Toc14828"/>
      <w:bookmarkStart w:id="3038" w:name="_Toc22054"/>
      <w:bookmarkStart w:id="3039" w:name="_Toc20998"/>
      <w:bookmarkStart w:id="3040" w:name="_Toc876"/>
      <w:bookmarkStart w:id="3041" w:name="_Toc24289"/>
      <w:bookmarkStart w:id="3042" w:name="_Toc519781048"/>
      <w:bookmarkStart w:id="3043" w:name="_Toc16647"/>
      <w:bookmarkStart w:id="3044" w:name="_Toc26472"/>
      <w:bookmarkStart w:id="3045" w:name="_Toc25905"/>
      <w:bookmarkStart w:id="3046" w:name="_Toc22040"/>
      <w:bookmarkStart w:id="3047" w:name="_Toc7438"/>
      <w:bookmarkStart w:id="3048" w:name="_Toc13362"/>
      <w:r>
        <w:rPr>
          <w:rFonts w:ascii="黑体" w:eastAsia="黑体" w:hAnsi="黑体" w:cs="黑体" w:hint="eastAsia"/>
          <w:color w:val="000000" w:themeColor="text1"/>
          <w:sz w:val="28"/>
          <w:szCs w:val="28"/>
        </w:rPr>
        <w:t>10.4 因公赴港澳台任务批件手续</w:t>
      </w:r>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p>
    <w:p w:rsidR="00E37845" w:rsidRDefault="00E22BDD">
      <w:pPr>
        <w:numPr>
          <w:ilvl w:val="255"/>
          <w:numId w:val="0"/>
        </w:numPr>
        <w:adjustRightInd w:val="0"/>
        <w:snapToGrid w:val="0"/>
        <w:spacing w:line="336" w:lineRule="auto"/>
        <w:ind w:leftChars="200" w:left="42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一、因公赴港澳手续：学院审批</w:t>
      </w:r>
      <w:r>
        <w:rPr>
          <w:rFonts w:ascii="仿宋_GB2312" w:eastAsia="仿宋_GB2312" w:hAnsi="仿宋_GB2312" w:cs="仿宋_GB2312"/>
          <w:color w:val="000000" w:themeColor="text1"/>
          <w:kern w:val="0"/>
          <w:sz w:val="24"/>
          <w:szCs w:val="24"/>
        </w:rPr>
        <w:t>-校内审批-广州市外办审批-行前教育-取证出发</w:t>
      </w:r>
    </w:p>
    <w:p w:rsidR="00E37845" w:rsidRDefault="00E22BDD">
      <w:pPr>
        <w:numPr>
          <w:ilvl w:val="255"/>
          <w:numId w:val="0"/>
        </w:num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（一）广州大学因公临时出国或赴港澳台地区审批表</w:t>
      </w:r>
    </w:p>
    <w:p w:rsidR="00E37845" w:rsidRDefault="00E22BDD">
      <w:pPr>
        <w:numPr>
          <w:ilvl w:val="255"/>
          <w:numId w:val="0"/>
        </w:num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lastRenderedPageBreak/>
        <w:t>1.</w:t>
      </w:r>
      <w:r>
        <w:rPr>
          <w:rFonts w:ascii="仿宋_GB2312" w:eastAsia="仿宋_GB2312" w:hAnsi="仿宋_GB2312" w:cs="仿宋_GB2312" w:hint="eastAsia"/>
          <w:color w:val="000000" w:themeColor="text1"/>
          <w:kern w:val="0"/>
          <w:sz w:val="24"/>
          <w:szCs w:val="24"/>
        </w:rPr>
        <w:t>出访任务和详细理由：简要阐明因公出访的时间、地点、人物、重要性和必要性</w:t>
      </w:r>
    </w:p>
    <w:p w:rsidR="00E37845" w:rsidRDefault="00E22BDD">
      <w:pPr>
        <w:numPr>
          <w:ilvl w:val="255"/>
          <w:numId w:val="0"/>
        </w:num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2.</w:t>
      </w:r>
      <w:r>
        <w:rPr>
          <w:rFonts w:ascii="仿宋_GB2312" w:eastAsia="仿宋_GB2312" w:hAnsi="仿宋_GB2312" w:cs="仿宋_GB2312" w:hint="eastAsia"/>
          <w:color w:val="000000" w:themeColor="text1"/>
          <w:kern w:val="0"/>
          <w:sz w:val="24"/>
          <w:szCs w:val="24"/>
        </w:rPr>
        <w:t>出访地点：时间以离境当天算起，入境当天结束</w:t>
      </w:r>
    </w:p>
    <w:p w:rsidR="00E37845" w:rsidRDefault="00E22BDD">
      <w:pPr>
        <w:numPr>
          <w:ilvl w:val="255"/>
          <w:numId w:val="0"/>
        </w:num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3.</w:t>
      </w:r>
      <w:r>
        <w:rPr>
          <w:rFonts w:ascii="仿宋_GB2312" w:eastAsia="仿宋_GB2312" w:hAnsi="仿宋_GB2312" w:cs="仿宋_GB2312" w:hint="eastAsia"/>
          <w:color w:val="000000" w:themeColor="text1"/>
          <w:kern w:val="0"/>
          <w:sz w:val="24"/>
          <w:szCs w:val="24"/>
        </w:rPr>
        <w:t>人数：团组所有成员数</w:t>
      </w:r>
    </w:p>
    <w:p w:rsidR="00E37845" w:rsidRDefault="00E22BDD">
      <w:pPr>
        <w:numPr>
          <w:ilvl w:val="255"/>
          <w:numId w:val="0"/>
        </w:num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4.</w:t>
      </w:r>
      <w:r>
        <w:rPr>
          <w:rFonts w:ascii="仿宋_GB2312" w:eastAsia="仿宋_GB2312" w:hAnsi="仿宋_GB2312" w:cs="仿宋_GB2312" w:hint="eastAsia"/>
          <w:color w:val="000000" w:themeColor="text1"/>
          <w:kern w:val="0"/>
          <w:sz w:val="24"/>
          <w:szCs w:val="24"/>
        </w:rPr>
        <w:t>出访时间：时间以离境当天算起，入境当天结束</w:t>
      </w:r>
    </w:p>
    <w:p w:rsidR="00E37845" w:rsidRDefault="00E22BDD">
      <w:pPr>
        <w:numPr>
          <w:ilvl w:val="255"/>
          <w:numId w:val="0"/>
        </w:num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5.</w:t>
      </w:r>
      <w:r>
        <w:rPr>
          <w:rFonts w:ascii="仿宋_GB2312" w:eastAsia="仿宋_GB2312" w:hAnsi="仿宋_GB2312" w:cs="仿宋_GB2312" w:hint="eastAsia"/>
          <w:color w:val="000000" w:themeColor="text1"/>
          <w:kern w:val="0"/>
          <w:sz w:val="24"/>
          <w:szCs w:val="24"/>
        </w:rPr>
        <w:t>费用来源：写明详细的经费编号</w:t>
      </w:r>
    </w:p>
    <w:p w:rsidR="00E37845" w:rsidRDefault="00E22BDD">
      <w:pPr>
        <w:numPr>
          <w:ilvl w:val="255"/>
          <w:numId w:val="0"/>
        </w:num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6.</w:t>
      </w:r>
      <w:r>
        <w:rPr>
          <w:rFonts w:ascii="仿宋_GB2312" w:eastAsia="仿宋_GB2312" w:hAnsi="仿宋_GB2312" w:cs="仿宋_GB2312" w:hint="eastAsia"/>
          <w:color w:val="000000" w:themeColor="text1"/>
          <w:kern w:val="0"/>
          <w:sz w:val="24"/>
          <w:szCs w:val="24"/>
        </w:rPr>
        <w:t>出访人所在部门审核意见：出访人所在部门负责人签字、盖章</w:t>
      </w:r>
    </w:p>
    <w:p w:rsidR="00E37845" w:rsidRDefault="00E22BDD">
      <w:pPr>
        <w:numPr>
          <w:ilvl w:val="255"/>
          <w:numId w:val="0"/>
        </w:num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7.</w:t>
      </w:r>
      <w:r>
        <w:rPr>
          <w:rFonts w:ascii="仿宋_GB2312" w:eastAsia="仿宋_GB2312" w:hAnsi="仿宋_GB2312" w:cs="仿宋_GB2312" w:hint="eastAsia"/>
          <w:color w:val="000000" w:themeColor="text1"/>
          <w:kern w:val="0"/>
          <w:sz w:val="24"/>
          <w:szCs w:val="24"/>
        </w:rPr>
        <w:t>业务主管部门审核意见：公派访学由人事处签字、盖章；学术交流由科研处签字、盖章</w:t>
      </w:r>
    </w:p>
    <w:p w:rsidR="00E37845" w:rsidRDefault="00E22BDD">
      <w:pPr>
        <w:numPr>
          <w:ilvl w:val="255"/>
          <w:numId w:val="0"/>
        </w:num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8.</w:t>
      </w:r>
      <w:r>
        <w:rPr>
          <w:rFonts w:ascii="仿宋_GB2312" w:eastAsia="仿宋_GB2312" w:hAnsi="仿宋_GB2312" w:cs="仿宋_GB2312" w:hint="eastAsia"/>
          <w:color w:val="000000" w:themeColor="text1"/>
          <w:kern w:val="0"/>
          <w:sz w:val="24"/>
          <w:szCs w:val="24"/>
        </w:rPr>
        <w:t>保密办审核意见：保密办签字、盖章</w:t>
      </w:r>
    </w:p>
    <w:p w:rsidR="00E37845" w:rsidRDefault="00E22BDD">
      <w:pPr>
        <w:numPr>
          <w:ilvl w:val="255"/>
          <w:numId w:val="0"/>
        </w:num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9.</w:t>
      </w:r>
      <w:r>
        <w:rPr>
          <w:rFonts w:ascii="仿宋_GB2312" w:eastAsia="仿宋_GB2312" w:hAnsi="仿宋_GB2312" w:cs="仿宋_GB2312" w:hint="eastAsia"/>
          <w:color w:val="000000" w:themeColor="text1"/>
          <w:kern w:val="0"/>
          <w:sz w:val="24"/>
          <w:szCs w:val="24"/>
        </w:rPr>
        <w:t>出访人姓名、身份证号、出生地、工作部门、职务及职称</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10.出访团长（负责人）签字</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11.外事部门审核意见：由港澳台工作办公室签字、盖章</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12.学校主管领导审核意见：由港澳台工作办公室人员找校领导签字、盖章</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13.广州大学因公出国或赴港澳台人员经费审批表</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w:t>
      </w:r>
      <w:r>
        <w:rPr>
          <w:rFonts w:ascii="仿宋_GB2312" w:eastAsia="仿宋_GB2312" w:hAnsi="仿宋_GB2312" w:cs="仿宋_GB2312"/>
          <w:color w:val="000000" w:themeColor="text1"/>
          <w:kern w:val="0"/>
          <w:sz w:val="24"/>
          <w:szCs w:val="24"/>
        </w:rPr>
        <w:t>1）杂项费：预留每人200人民币的护照、签证费（实报实销）</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（2）</w:t>
      </w:r>
      <w:r>
        <w:rPr>
          <w:rFonts w:ascii="仿宋_GB2312" w:eastAsia="仿宋_GB2312" w:hAnsi="仿宋_GB2312" w:cs="仿宋_GB2312"/>
          <w:color w:val="000000" w:themeColor="text1"/>
          <w:kern w:val="0"/>
          <w:sz w:val="24"/>
          <w:szCs w:val="24"/>
        </w:rPr>
        <w:t>标准出访外汇：</w:t>
      </w:r>
      <w:r>
        <w:rPr>
          <w:rFonts w:ascii="仿宋_GB2312" w:eastAsia="仿宋_GB2312" w:hAnsi="仿宋_GB2312" w:cs="仿宋_GB2312" w:hint="eastAsia"/>
          <w:color w:val="000000" w:themeColor="text1"/>
          <w:kern w:val="0"/>
          <w:sz w:val="24"/>
          <w:szCs w:val="24"/>
        </w:rPr>
        <w:t>1)</w:t>
      </w:r>
      <w:r>
        <w:rPr>
          <w:rFonts w:ascii="仿宋_GB2312" w:eastAsia="仿宋_GB2312" w:hAnsi="仿宋_GB2312" w:cs="仿宋_GB2312"/>
          <w:color w:val="000000" w:themeColor="text1"/>
          <w:kern w:val="0"/>
          <w:sz w:val="24"/>
          <w:szCs w:val="24"/>
        </w:rPr>
        <w:t>伙食费，每人每天500港币</w:t>
      </w:r>
      <w:r>
        <w:rPr>
          <w:rFonts w:ascii="仿宋_GB2312" w:eastAsia="仿宋_GB2312" w:hAnsi="仿宋_GB2312" w:cs="仿宋_GB2312" w:hint="eastAsia"/>
          <w:color w:val="000000" w:themeColor="text1"/>
          <w:kern w:val="0"/>
          <w:sz w:val="24"/>
          <w:szCs w:val="24"/>
        </w:rPr>
        <w:t>;2)住宿费，每人每天</w:t>
      </w:r>
      <w:r>
        <w:rPr>
          <w:rFonts w:ascii="仿宋_GB2312" w:eastAsia="仿宋_GB2312" w:hAnsi="仿宋_GB2312" w:cs="仿宋_GB2312"/>
          <w:color w:val="000000" w:themeColor="text1"/>
          <w:kern w:val="0"/>
          <w:sz w:val="24"/>
          <w:szCs w:val="24"/>
        </w:rPr>
        <w:t>1500港币</w:t>
      </w:r>
      <w:r>
        <w:rPr>
          <w:rFonts w:ascii="仿宋_GB2312" w:eastAsia="仿宋_GB2312" w:hAnsi="仿宋_GB2312" w:cs="仿宋_GB2312" w:hint="eastAsia"/>
          <w:color w:val="000000" w:themeColor="text1"/>
          <w:kern w:val="0"/>
          <w:sz w:val="24"/>
          <w:szCs w:val="24"/>
        </w:rPr>
        <w:t>;3)公杂费（所有港澳境内产生的费用）每人每人</w:t>
      </w:r>
      <w:r>
        <w:rPr>
          <w:rFonts w:ascii="仿宋_GB2312" w:eastAsia="仿宋_GB2312" w:hAnsi="仿宋_GB2312" w:cs="仿宋_GB2312"/>
          <w:color w:val="000000" w:themeColor="text1"/>
          <w:kern w:val="0"/>
          <w:sz w:val="24"/>
          <w:szCs w:val="24"/>
        </w:rPr>
        <w:t>300港币</w:t>
      </w:r>
      <w:r>
        <w:rPr>
          <w:rFonts w:ascii="仿宋_GB2312" w:eastAsia="仿宋_GB2312" w:hAnsi="仿宋_GB2312" w:cs="仿宋_GB2312" w:hint="eastAsia"/>
          <w:color w:val="000000" w:themeColor="text1"/>
          <w:kern w:val="0"/>
          <w:sz w:val="24"/>
          <w:szCs w:val="24"/>
        </w:rPr>
        <w:t>;4)国际旅费，每人预留</w:t>
      </w:r>
      <w:r>
        <w:rPr>
          <w:rFonts w:ascii="仿宋_GB2312" w:eastAsia="仿宋_GB2312" w:hAnsi="仿宋_GB2312" w:cs="仿宋_GB2312"/>
          <w:color w:val="000000" w:themeColor="text1"/>
          <w:kern w:val="0"/>
          <w:sz w:val="24"/>
          <w:szCs w:val="24"/>
        </w:rPr>
        <w:t>500港币（实报实销）</w:t>
      </w:r>
      <w:r>
        <w:rPr>
          <w:rFonts w:ascii="仿宋_GB2312" w:eastAsia="仿宋_GB2312" w:hAnsi="仿宋_GB2312" w:cs="仿宋_GB2312" w:hint="eastAsia"/>
          <w:color w:val="000000" w:themeColor="text1"/>
          <w:kern w:val="0"/>
          <w:sz w:val="24"/>
          <w:szCs w:val="24"/>
        </w:rPr>
        <w:t>。</w:t>
      </w:r>
    </w:p>
    <w:p w:rsidR="00E37845" w:rsidRDefault="00E22BDD">
      <w:pPr>
        <w:numPr>
          <w:ilvl w:val="255"/>
          <w:numId w:val="0"/>
        </w:num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w:t>
      </w:r>
      <w:r>
        <w:rPr>
          <w:rFonts w:ascii="仿宋_GB2312" w:eastAsia="仿宋_GB2312" w:hAnsi="仿宋_GB2312" w:cs="仿宋_GB2312"/>
          <w:color w:val="000000" w:themeColor="text1"/>
          <w:kern w:val="0"/>
          <w:sz w:val="24"/>
          <w:szCs w:val="24"/>
        </w:rPr>
        <w:t>3</w:t>
      </w:r>
      <w:r>
        <w:rPr>
          <w:rFonts w:ascii="仿宋_GB2312" w:eastAsia="仿宋_GB2312" w:hAnsi="仿宋_GB2312" w:cs="仿宋_GB2312" w:hint="eastAsia"/>
          <w:color w:val="000000" w:themeColor="text1"/>
          <w:kern w:val="0"/>
          <w:sz w:val="24"/>
          <w:szCs w:val="24"/>
        </w:rPr>
        <w:t>）经费来源主管部门审核意见：签字、盖章</w:t>
      </w:r>
    </w:p>
    <w:p w:rsidR="00E37845" w:rsidRDefault="00E22BDD">
      <w:pPr>
        <w:numPr>
          <w:ilvl w:val="255"/>
          <w:numId w:val="0"/>
        </w:num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w:t>
      </w:r>
      <w:r>
        <w:rPr>
          <w:rFonts w:ascii="仿宋_GB2312" w:eastAsia="仿宋_GB2312" w:hAnsi="仿宋_GB2312" w:cs="仿宋_GB2312"/>
          <w:color w:val="000000" w:themeColor="text1"/>
          <w:kern w:val="0"/>
          <w:sz w:val="24"/>
          <w:szCs w:val="24"/>
        </w:rPr>
        <w:t>4</w:t>
      </w:r>
      <w:r>
        <w:rPr>
          <w:rFonts w:ascii="仿宋_GB2312" w:eastAsia="仿宋_GB2312" w:hAnsi="仿宋_GB2312" w:cs="仿宋_GB2312" w:hint="eastAsia"/>
          <w:color w:val="000000" w:themeColor="text1"/>
          <w:kern w:val="0"/>
          <w:sz w:val="24"/>
          <w:szCs w:val="24"/>
        </w:rPr>
        <w:t>）外事处审核意见：由港澳台工作办公室人员找外事处领导签字</w:t>
      </w:r>
    </w:p>
    <w:p w:rsidR="00E37845" w:rsidRDefault="00E22BDD">
      <w:pPr>
        <w:numPr>
          <w:ilvl w:val="255"/>
          <w:numId w:val="0"/>
        </w:numPr>
        <w:adjustRightInd w:val="0"/>
        <w:snapToGrid w:val="0"/>
        <w:spacing w:line="336" w:lineRule="auto"/>
        <w:ind w:leftChars="200" w:left="42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（二）备案表（涉密人员需一式两份）：</w:t>
      </w:r>
      <w:r>
        <w:rPr>
          <w:rFonts w:ascii="仿宋_GB2312" w:eastAsia="仿宋_GB2312" w:hAnsi="仿宋_GB2312" w:cs="仿宋_GB2312"/>
          <w:color w:val="000000" w:themeColor="text1"/>
          <w:kern w:val="0"/>
          <w:sz w:val="24"/>
          <w:szCs w:val="24"/>
        </w:rPr>
        <w:t>1.需详细写明出访人个人信息及直</w:t>
      </w:r>
    </w:p>
    <w:p w:rsidR="00E37845" w:rsidRDefault="00E22BDD">
      <w:pPr>
        <w:numPr>
          <w:ilvl w:val="255"/>
          <w:numId w:val="0"/>
        </w:num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系血亲信息（居住地址需详细到门牌号，需说明是否取得境外长期居留权或国籍）；2.出访任务、所赴地区及停留时间：例</w:t>
      </w:r>
      <w:r>
        <w:rPr>
          <w:rFonts w:ascii="仿宋_GB2312" w:eastAsia="仿宋_GB2312" w:hAnsi="仿宋_GB2312" w:cs="仿宋_GB2312"/>
          <w:color w:val="000000" w:themeColor="text1"/>
          <w:kern w:val="0"/>
          <w:sz w:val="24"/>
          <w:szCs w:val="24"/>
        </w:rPr>
        <w:t>xx年xx月xx日-xx年xx月xx日赴香港科技大学参加第十三届计算机密码安全大会，共XX天</w:t>
      </w:r>
      <w:r>
        <w:rPr>
          <w:rFonts w:ascii="仿宋_GB2312" w:eastAsia="仿宋_GB2312" w:hAnsi="仿宋_GB2312" w:cs="仿宋_GB2312" w:hint="eastAsia"/>
          <w:color w:val="000000" w:themeColor="text1"/>
          <w:kern w:val="0"/>
          <w:sz w:val="24"/>
          <w:szCs w:val="24"/>
        </w:rPr>
        <w:t>；3.人员派出单位意见：由人事处签字、盖章</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（三）本土邀请函：由港澳邀请单位发出，需明确说明邀请人员、时间、地点、任务，外文版邀请函需出访人自行翻译成中文版本，中外文版本一起打印</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日程安排表：需上下午详细行程，不能出现“考察”、“参观”字眼；</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需详细写明何时何地与何人从事何种活动，内容详实</w:t>
      </w:r>
    </w:p>
    <w:p w:rsidR="00E37845" w:rsidRDefault="00E22BDD">
      <w:pPr>
        <w:numPr>
          <w:ilvl w:val="255"/>
          <w:numId w:val="0"/>
        </w:numPr>
        <w:adjustRightInd w:val="0"/>
        <w:snapToGrid w:val="0"/>
        <w:spacing w:line="336" w:lineRule="auto"/>
        <w:ind w:leftChars="200" w:left="42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（四）身份证复印件一式两份</w:t>
      </w:r>
    </w:p>
    <w:p w:rsidR="00E37845" w:rsidRDefault="00E22BDD">
      <w:pPr>
        <w:numPr>
          <w:ilvl w:val="255"/>
          <w:numId w:val="0"/>
        </w:numPr>
        <w:adjustRightInd w:val="0"/>
        <w:snapToGrid w:val="0"/>
        <w:spacing w:line="336" w:lineRule="auto"/>
        <w:ind w:leftChars="200" w:left="42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（五）会议议程：如参加会议，需要邀请方提供，彩打出来即是原件</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w:t>
      </w:r>
      <w:r>
        <w:rPr>
          <w:rFonts w:ascii="仿宋_GB2312" w:eastAsia="仿宋_GB2312" w:hAnsi="仿宋_GB2312" w:cs="仿宋_GB2312" w:hint="eastAsia"/>
          <w:color w:val="000000" w:themeColor="text1"/>
          <w:kern w:val="0"/>
          <w:sz w:val="24"/>
          <w:szCs w:val="24"/>
        </w:rPr>
        <w:t>六</w:t>
      </w:r>
      <w:r>
        <w:rPr>
          <w:rFonts w:ascii="仿宋_GB2312" w:eastAsia="仿宋_GB2312" w:hAnsi="仿宋_GB2312" w:cs="仿宋_GB2312"/>
          <w:color w:val="000000" w:themeColor="text1"/>
          <w:kern w:val="0"/>
          <w:sz w:val="24"/>
          <w:szCs w:val="24"/>
        </w:rPr>
        <w:t>)</w:t>
      </w:r>
      <w:r>
        <w:rPr>
          <w:rFonts w:ascii="仿宋_GB2312" w:eastAsia="仿宋_GB2312" w:hAnsi="仿宋_GB2312" w:cs="仿宋_GB2312" w:hint="eastAsia"/>
          <w:color w:val="000000" w:themeColor="text1"/>
          <w:kern w:val="0"/>
          <w:sz w:val="24"/>
          <w:szCs w:val="24"/>
        </w:rPr>
        <w:t>出访请示函：由出访人阐明所赴地区、时间、任务、人员数及出访的重要性和</w:t>
      </w:r>
      <w:r>
        <w:rPr>
          <w:rFonts w:ascii="仿宋_GB2312" w:eastAsia="仿宋_GB2312" w:hAnsi="仿宋_GB2312" w:cs="仿宋_GB2312" w:hint="eastAsia"/>
          <w:color w:val="000000" w:themeColor="text1"/>
          <w:kern w:val="0"/>
          <w:sz w:val="24"/>
          <w:szCs w:val="24"/>
        </w:rPr>
        <w:lastRenderedPageBreak/>
        <w:t>必要性</w:t>
      </w:r>
    </w:p>
    <w:p w:rsidR="00E37845" w:rsidRDefault="00E22BDD">
      <w:pPr>
        <w:numPr>
          <w:ilvl w:val="255"/>
          <w:numId w:val="0"/>
        </w:numPr>
        <w:adjustRightInd w:val="0"/>
        <w:snapToGrid w:val="0"/>
        <w:spacing w:line="336" w:lineRule="auto"/>
        <w:ind w:leftChars="200" w:left="42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（七）因公临时出国</w:t>
      </w:r>
      <w:r>
        <w:rPr>
          <w:rFonts w:ascii="仿宋_GB2312" w:eastAsia="仿宋_GB2312" w:hAnsi="仿宋_GB2312" w:cs="仿宋_GB2312"/>
          <w:color w:val="000000" w:themeColor="text1"/>
          <w:kern w:val="0"/>
          <w:sz w:val="24"/>
          <w:szCs w:val="24"/>
        </w:rPr>
        <w:t>&amp;</w:t>
      </w:r>
      <w:r>
        <w:rPr>
          <w:rFonts w:ascii="仿宋_GB2312" w:eastAsia="仿宋_GB2312" w:hAnsi="仿宋_GB2312" w:cs="仿宋_GB2312" w:hint="eastAsia"/>
          <w:color w:val="000000" w:themeColor="text1"/>
          <w:kern w:val="0"/>
          <w:sz w:val="24"/>
          <w:szCs w:val="24"/>
        </w:rPr>
        <w:t>赴港澳任务和预算审批意见表：由港澳台工作办公室审核后再由财务处盖章</w:t>
      </w:r>
    </w:p>
    <w:p w:rsidR="00E37845" w:rsidRDefault="00E22BDD">
      <w:pPr>
        <w:numPr>
          <w:ilvl w:val="255"/>
          <w:numId w:val="0"/>
        </w:numPr>
        <w:adjustRightInd w:val="0"/>
        <w:snapToGrid w:val="0"/>
        <w:spacing w:line="336" w:lineRule="auto"/>
        <w:ind w:leftChars="200" w:left="42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（八）广州大学涉密、重要岗位人员出国（境）审批表（仅供涉密人员需要）</w:t>
      </w:r>
    </w:p>
    <w:p w:rsidR="00E37845" w:rsidRDefault="00E22BDD">
      <w:pPr>
        <w:numPr>
          <w:ilvl w:val="255"/>
          <w:numId w:val="0"/>
        </w:numPr>
        <w:adjustRightInd w:val="0"/>
        <w:snapToGrid w:val="0"/>
        <w:spacing w:line="336" w:lineRule="auto"/>
        <w:ind w:leftChars="200" w:left="42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（九）大一寸浅蓝底彩色证明免冠近照</w:t>
      </w:r>
      <w:r>
        <w:rPr>
          <w:rFonts w:ascii="仿宋_GB2312" w:eastAsia="仿宋_GB2312" w:hAnsi="仿宋_GB2312" w:cs="仿宋_GB2312"/>
          <w:color w:val="000000" w:themeColor="text1"/>
          <w:kern w:val="0"/>
          <w:sz w:val="24"/>
          <w:szCs w:val="24"/>
        </w:rPr>
        <w:t>2张，光面纸晒制，影像清晰，不发灰、不虚影，不能使用珠纹相纸、不能使用打印相片</w:t>
      </w:r>
    </w:p>
    <w:p w:rsidR="00E37845" w:rsidRDefault="00E22BDD">
      <w:pPr>
        <w:numPr>
          <w:ilvl w:val="255"/>
          <w:numId w:val="0"/>
        </w:numPr>
        <w:adjustRightInd w:val="0"/>
        <w:snapToGrid w:val="0"/>
        <w:spacing w:line="336" w:lineRule="auto"/>
        <w:ind w:leftChars="200" w:left="42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（十）中英文论文摘要或发言摘要：有提交论文或者会议发言者需提供</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(十一)</w:t>
      </w:r>
      <w:r>
        <w:rPr>
          <w:rFonts w:ascii="仿宋_GB2312" w:eastAsia="仿宋_GB2312" w:hAnsi="仿宋_GB2312" w:cs="仿宋_GB2312" w:hint="eastAsia"/>
          <w:color w:val="000000" w:themeColor="text1"/>
          <w:kern w:val="0"/>
          <w:sz w:val="24"/>
          <w:szCs w:val="24"/>
        </w:rPr>
        <w:t>合作协议复印件：专项合作，如带学生实习，需提供与实习接洽单位签署的协议复印件</w:t>
      </w:r>
    </w:p>
    <w:p w:rsidR="00E37845" w:rsidRDefault="00E22BDD">
      <w:pPr>
        <w:numPr>
          <w:ilvl w:val="255"/>
          <w:numId w:val="0"/>
        </w:numPr>
        <w:adjustRightInd w:val="0"/>
        <w:snapToGrid w:val="0"/>
        <w:spacing w:line="336"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二、因公赴台湾手续（所有材料均不得出现“中华民国”、“国立”、“</w:t>
      </w:r>
      <w:r>
        <w:rPr>
          <w:rFonts w:ascii="仿宋_GB2312" w:eastAsia="仿宋_GB2312" w:hAnsi="仿宋_GB2312" w:cs="仿宋_GB2312"/>
          <w:color w:val="000000" w:themeColor="text1"/>
          <w:kern w:val="0"/>
          <w:sz w:val="24"/>
          <w:szCs w:val="24"/>
        </w:rPr>
        <w:t>R.O.C”、“107学年度”等字眼）：学院审批（出访人准备）-校内审批-校内公文-报送市台办-出入境办证（校领导由港澳台工作办公室人员负责）-行前教育</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（一）广州大学因公临时出国或赴港澳台地区审批表</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1.出访任务和详细理由：简要阐明因公出访的时间、地点、人物、重要性和必要性</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2.出访地点：时间以离境当天算起，入境当天结束</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3.人数：团组所有成员数</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4.出访时间：时间以离境当天算起，入境当天结束</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5.费用来源：写明详细的经费编号</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6.出访人所在部门审核意见：出访人所在部门负责人签字、盖章</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7.业务主管部门审核意见：公派访学由人事处签字、盖章；学术交流</w:t>
      </w:r>
      <w:r>
        <w:rPr>
          <w:rFonts w:ascii="仿宋_GB2312" w:eastAsia="仿宋_GB2312" w:hAnsi="仿宋_GB2312" w:cs="仿宋_GB2312" w:hint="eastAsia"/>
          <w:color w:val="000000" w:themeColor="text1"/>
          <w:kern w:val="0"/>
          <w:sz w:val="24"/>
          <w:szCs w:val="24"/>
        </w:rPr>
        <w:t>由科研处签字、盖章</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8.保密办审核意见：保密办签字、盖章</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9.出访人姓名、身份证号、出生地、工作部门、职务及职称</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10.出访团长（负责人）签字</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11.外事部门审核意见：由港澳台工作办公室签字、盖章</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12.学校主管领导审核意见：由港澳台工作办公室人员找校领导签字、盖章</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13.广州大学因公出国或赴港澳台人员经费审批表</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w:t>
      </w:r>
      <w:r>
        <w:rPr>
          <w:rFonts w:ascii="仿宋_GB2312" w:eastAsia="仿宋_GB2312" w:hAnsi="仿宋_GB2312" w:cs="仿宋_GB2312"/>
          <w:color w:val="000000" w:themeColor="text1"/>
          <w:kern w:val="0"/>
          <w:sz w:val="24"/>
          <w:szCs w:val="24"/>
        </w:rPr>
        <w:t>1）杂项费：预留每人200人民币的护照、签证费（实报实销）</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w:t>
      </w:r>
      <w:r>
        <w:rPr>
          <w:rFonts w:ascii="仿宋_GB2312" w:eastAsia="仿宋_GB2312" w:hAnsi="仿宋_GB2312" w:cs="仿宋_GB2312"/>
          <w:color w:val="000000" w:themeColor="text1"/>
          <w:kern w:val="0"/>
          <w:sz w:val="24"/>
          <w:szCs w:val="24"/>
        </w:rPr>
        <w:t>2）标准出访外汇：伙食费，每人每天60美元</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住宿费，每人每天</w:t>
      </w:r>
      <w:r>
        <w:rPr>
          <w:rFonts w:ascii="仿宋_GB2312" w:eastAsia="仿宋_GB2312" w:hAnsi="仿宋_GB2312" w:cs="仿宋_GB2312"/>
          <w:color w:val="000000" w:themeColor="text1"/>
          <w:kern w:val="0"/>
          <w:sz w:val="24"/>
          <w:szCs w:val="24"/>
        </w:rPr>
        <w:t>150美元</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公杂费（所有台湾境内产生的费用）每人每人</w:t>
      </w:r>
      <w:r>
        <w:rPr>
          <w:rFonts w:ascii="仿宋_GB2312" w:eastAsia="仿宋_GB2312" w:hAnsi="仿宋_GB2312" w:cs="仿宋_GB2312"/>
          <w:color w:val="000000" w:themeColor="text1"/>
          <w:kern w:val="0"/>
          <w:sz w:val="24"/>
          <w:szCs w:val="24"/>
        </w:rPr>
        <w:t xml:space="preserve">40美元     </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w:t>
      </w:r>
      <w:r>
        <w:rPr>
          <w:rFonts w:ascii="仿宋_GB2312" w:eastAsia="仿宋_GB2312" w:hAnsi="仿宋_GB2312" w:cs="仿宋_GB2312"/>
          <w:color w:val="000000" w:themeColor="text1"/>
          <w:kern w:val="0"/>
          <w:sz w:val="24"/>
          <w:szCs w:val="24"/>
        </w:rPr>
        <w:t>3）经费来源主管部门审核意见：签字、盖章</w:t>
      </w:r>
    </w:p>
    <w:p w:rsidR="00E37845" w:rsidRDefault="00E22BDD">
      <w:pPr>
        <w:adjustRightInd w:val="0"/>
        <w:snapToGrid w:val="0"/>
        <w:spacing w:line="336" w:lineRule="auto"/>
        <w:ind w:firstLine="42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lastRenderedPageBreak/>
        <w:t>（</w:t>
      </w:r>
      <w:r>
        <w:rPr>
          <w:rFonts w:ascii="仿宋_GB2312" w:eastAsia="仿宋_GB2312" w:hAnsi="仿宋_GB2312" w:cs="仿宋_GB2312"/>
          <w:color w:val="000000" w:themeColor="text1"/>
          <w:kern w:val="0"/>
          <w:sz w:val="24"/>
          <w:szCs w:val="24"/>
        </w:rPr>
        <w:t>4）外事处审核意见：由港澳台工作办公室人员找外事处领导签字</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（二）备案表（涉密人员需一式两份）：</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1.需详细写明出访人个人信息及直</w:t>
      </w:r>
    </w:p>
    <w:p w:rsidR="00E37845" w:rsidRDefault="00E22BDD">
      <w:pPr>
        <w:adjustRightInd w:val="0"/>
        <w:snapToGrid w:val="0"/>
        <w:spacing w:line="336" w:lineRule="auto"/>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系血亲信息（居住地址需详细到门牌号，需说明是否取得境外长期居留权或国籍）</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2.出访任务、所赴地区及停留时间：例xx年xx月xx日-xx年xx月xx日赴台湾大学参加第十三届计算机密码安全大会，共XX天</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3.人员派出单位意见：由人事处签字、盖章</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（三）赴台人员名单：团组共用一份，写明出访人出生年月日及户口等信息</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（四）本土邀请函：由台湾邀请单位发出，需明确说明邀请人员、时间、地点、</w:t>
      </w:r>
    </w:p>
    <w:p w:rsidR="00E37845" w:rsidRDefault="00E22BDD">
      <w:p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任务，需原版原件</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五）行程表原件：由台湾邀请单位发出，即“大陆人士往来台湾从事相关活动行程表”，必须与邀请方申请入台证的行程表格式一致，并且加盖邀请方单位公章，不得出现“考察”、“参观”字眼，出访天数要与邀请函一致，分上下午安排详细行程，若邀请方只提供扫描件，则彩打出来</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（六）受邀人员名单：由邀请方提供，即“大陆地区来台从事相关活动团体名册”，有标准表格</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（七）邀请方简介</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（八）会议简介：参加会议者需提供</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（九）参会代表名单：邀请方提供，参加会议全部代表名单，包括外籍人士名单</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（十）政治保证函：邀请方提供，说明国际会议内容不涉及“一中一台”、“两个中国”等问题，参加国际会议者提供</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（十一）论文摘要或发言稿：提交论文或论坛发言者提供</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（十二）赴台合作科技项目申请书：进行合作研究者提供</w:t>
      </w:r>
    </w:p>
    <w:p w:rsidR="00E37845" w:rsidRDefault="00E22BDD">
      <w:pPr>
        <w:numPr>
          <w:ilvl w:val="255"/>
          <w:numId w:val="0"/>
        </w:numPr>
        <w:adjustRightInd w:val="0"/>
        <w:snapToGrid w:val="0"/>
        <w:spacing w:line="336"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（十三）科技合作协议：进行合作研究者提供</w:t>
      </w:r>
      <w:r>
        <w:rPr>
          <w:rFonts w:ascii="仿宋_GB2312" w:eastAsia="仿宋_GB2312" w:hAnsi="仿宋_GB2312" w:cs="仿宋_GB2312" w:hint="eastAsia"/>
          <w:color w:val="000000" w:themeColor="text1"/>
          <w:kern w:val="0"/>
          <w:sz w:val="24"/>
          <w:szCs w:val="24"/>
        </w:rPr>
        <w:br/>
      </w:r>
    </w:p>
    <w:p w:rsidR="00E37845" w:rsidRDefault="00E22BDD">
      <w:pPr>
        <w:numPr>
          <w:ilvl w:val="255"/>
          <w:numId w:val="0"/>
        </w:numPr>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br w:type="page"/>
      </w:r>
    </w:p>
    <w:p w:rsidR="00E37845" w:rsidRDefault="00E22BDD">
      <w:pPr>
        <w:pStyle w:val="1"/>
        <w:jc w:val="center"/>
        <w:rPr>
          <w:rFonts w:ascii="方正小标宋简体" w:eastAsia="方正小标宋简体" w:hAnsi="方正小标宋简体" w:cs="方正小标宋简体"/>
          <w:sz w:val="44"/>
        </w:rPr>
      </w:pPr>
      <w:bookmarkStart w:id="3049" w:name="_Toc18875"/>
      <w:r>
        <w:rPr>
          <w:rFonts w:ascii="方正小标宋简体" w:eastAsia="方正小标宋简体" w:hAnsi="方正小标宋简体" w:cs="方正小标宋简体" w:hint="eastAsia"/>
          <w:sz w:val="44"/>
        </w:rPr>
        <w:lastRenderedPageBreak/>
        <w:t>第五篇  公共资源与服务</w:t>
      </w:r>
      <w:bookmarkEnd w:id="3049"/>
    </w:p>
    <w:p w:rsidR="00E37845" w:rsidRDefault="00E22BDD">
      <w:pPr>
        <w:pStyle w:val="1"/>
        <w:adjustRightInd w:val="0"/>
        <w:snapToGrid w:val="0"/>
        <w:spacing w:beforeLines="100" w:before="312" w:afterLines="100" w:after="312" w:line="360" w:lineRule="auto"/>
        <w:rPr>
          <w:rFonts w:ascii="微软雅黑" w:eastAsia="微软雅黑" w:hAnsi="微软雅黑" w:cs="微软雅黑"/>
        </w:rPr>
      </w:pPr>
      <w:bookmarkStart w:id="3050" w:name="_Toc12313"/>
      <w:bookmarkStart w:id="3051" w:name="_Toc27517"/>
      <w:bookmarkStart w:id="3052" w:name="_Toc10734"/>
      <w:bookmarkStart w:id="3053" w:name="_Toc21632"/>
      <w:bookmarkStart w:id="3054" w:name="_Toc31199"/>
      <w:bookmarkStart w:id="3055" w:name="_Toc19571"/>
      <w:bookmarkStart w:id="3056" w:name="_Toc9398"/>
      <w:bookmarkStart w:id="3057" w:name="_Toc19211"/>
      <w:bookmarkStart w:id="3058" w:name="_Toc31890"/>
      <w:bookmarkStart w:id="3059" w:name="_Toc17484"/>
      <w:bookmarkStart w:id="3060" w:name="_Toc18181"/>
      <w:bookmarkStart w:id="3061" w:name="_Toc9320"/>
      <w:bookmarkStart w:id="3062" w:name="_Toc20286"/>
      <w:bookmarkStart w:id="3063" w:name="_Toc841"/>
      <w:bookmarkStart w:id="3064" w:name="_Toc311"/>
      <w:bookmarkStart w:id="3065" w:name="_Toc6309"/>
      <w:bookmarkStart w:id="3066" w:name="_Toc27441"/>
      <w:bookmarkStart w:id="3067" w:name="_Toc519781050"/>
      <w:bookmarkStart w:id="3068" w:name="_Toc21785"/>
      <w:bookmarkStart w:id="3069" w:name="_Toc18930"/>
      <w:bookmarkStart w:id="3070" w:name="_Toc19670"/>
      <w:bookmarkStart w:id="3071" w:name="_Toc2914"/>
      <w:bookmarkStart w:id="3072" w:name="_Toc21142"/>
      <w:bookmarkStart w:id="3073" w:name="_Toc15235"/>
      <w:bookmarkStart w:id="3074" w:name="_Toc12136"/>
      <w:bookmarkStart w:id="3075" w:name="_Toc31101"/>
      <w:bookmarkEnd w:id="2961"/>
      <w:r>
        <w:rPr>
          <w:rFonts w:ascii="微软雅黑" w:eastAsia="微软雅黑" w:hAnsi="微软雅黑" w:cs="微软雅黑" w:hint="eastAsia"/>
        </w:rPr>
        <w:t>11.公共资源与服务</w:t>
      </w:r>
      <w:bookmarkEnd w:id="3050"/>
      <w:bookmarkEnd w:id="3051"/>
      <w:bookmarkEnd w:id="3052"/>
      <w:bookmarkEnd w:id="3053"/>
      <w:bookmarkEnd w:id="3054"/>
      <w:bookmarkEnd w:id="3055"/>
      <w:bookmarkEnd w:id="3056"/>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3076" w:name="_Toc9652"/>
      <w:bookmarkStart w:id="3077" w:name="_Toc13116"/>
      <w:bookmarkStart w:id="3078" w:name="_Toc15966"/>
      <w:bookmarkStart w:id="3079" w:name="_Toc22087"/>
      <w:bookmarkStart w:id="3080" w:name="_Toc28233"/>
      <w:bookmarkStart w:id="3081" w:name="_Toc24052"/>
      <w:bookmarkStart w:id="3082" w:name="_Toc5101"/>
      <w:r>
        <w:rPr>
          <w:rFonts w:ascii="黑体" w:eastAsia="黑体" w:hAnsi="黑体" w:cs="黑体" w:hint="eastAsia"/>
          <w:color w:val="000000" w:themeColor="text1"/>
          <w:sz w:val="28"/>
          <w:szCs w:val="28"/>
        </w:rPr>
        <w:t>11.1图书馆服务事项及流程</w:t>
      </w:r>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p>
    <w:p w:rsidR="00E37845" w:rsidRDefault="00E22BDD">
      <w:pPr>
        <w:adjustRightInd w:val="0"/>
        <w:snapToGrid w:val="0"/>
        <w:spacing w:line="360" w:lineRule="auto"/>
        <w:ind w:firstLineChars="200" w:firstLine="482"/>
        <w:rPr>
          <w:rFonts w:ascii="仿宋_GB2312" w:eastAsia="仿宋_GB2312" w:hAnsi="仿宋_GB2312" w:cs="仿宋_GB2312"/>
          <w:b/>
          <w:bCs/>
          <w:color w:val="000000" w:themeColor="text1"/>
          <w:sz w:val="24"/>
          <w:szCs w:val="24"/>
        </w:rPr>
      </w:pPr>
      <w:r>
        <w:rPr>
          <w:rFonts w:ascii="黑体" w:eastAsia="黑体" w:hAnsi="黑体" w:cs="黑体" w:hint="eastAsia"/>
          <w:b/>
          <w:bCs/>
          <w:color w:val="000000" w:themeColor="text1"/>
          <w:sz w:val="24"/>
          <w:szCs w:val="24"/>
        </w:rPr>
        <w:t>一、图书馆空间服务</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图书馆开放时间为</w:t>
      </w:r>
      <w:r>
        <w:rPr>
          <w:rFonts w:ascii="仿宋_GB2312" w:eastAsia="仿宋_GB2312" w:hAnsi="仿宋_GB2312" w:cs="仿宋_GB2312"/>
          <w:color w:val="000000" w:themeColor="text1"/>
          <w:sz w:val="24"/>
          <w:szCs w:val="24"/>
        </w:rPr>
        <w:t>6：00～24：00，其中图书期刊借阅时间为8：30～22：00，其他业务部门工作时间为学校正常上班时间。</w:t>
      </w:r>
    </w:p>
    <w:p w:rsidR="00E37845" w:rsidRDefault="00E22BDD">
      <w:pPr>
        <w:adjustRightInd w:val="0"/>
        <w:snapToGrid w:val="0"/>
        <w:spacing w:line="360" w:lineRule="auto"/>
        <w:ind w:firstLineChars="200" w:firstLine="482"/>
        <w:rPr>
          <w:rFonts w:ascii="仿宋_GB2312" w:eastAsia="仿宋_GB2312" w:hAnsi="仿宋_GB2312" w:cs="仿宋_GB2312"/>
          <w:b/>
          <w:bCs/>
          <w:color w:val="000000" w:themeColor="text1"/>
          <w:sz w:val="24"/>
          <w:szCs w:val="24"/>
        </w:rPr>
      </w:pPr>
      <w:r>
        <w:rPr>
          <w:rFonts w:ascii="黑体" w:eastAsia="黑体" w:hAnsi="黑体" w:cs="黑体" w:hint="eastAsia"/>
          <w:b/>
          <w:bCs/>
          <w:color w:val="000000" w:themeColor="text1"/>
          <w:sz w:val="24"/>
          <w:szCs w:val="24"/>
        </w:rPr>
        <w:t>二、文献借阅服务</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读者借阅规则</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1.</w:t>
      </w:r>
      <w:r>
        <w:rPr>
          <w:rFonts w:ascii="仿宋_GB2312" w:eastAsia="仿宋_GB2312" w:hAnsi="仿宋_GB2312" w:cs="仿宋_GB2312"/>
          <w:color w:val="000000" w:themeColor="text1"/>
          <w:sz w:val="24"/>
          <w:szCs w:val="24"/>
        </w:rPr>
        <w:t>读者一律凭本人一卡通或读者证经门禁系统刷卡后进馆。</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noProof/>
          <w:color w:val="000000" w:themeColor="text1"/>
          <w:sz w:val="24"/>
          <w:szCs w:val="24"/>
        </w:rPr>
        <w:drawing>
          <wp:anchor distT="0" distB="0" distL="0" distR="0" simplePos="0" relativeHeight="251619840" behindDoc="0" locked="0" layoutInCell="1" allowOverlap="1">
            <wp:simplePos x="0" y="0"/>
            <wp:positionH relativeFrom="column">
              <wp:posOffset>556895</wp:posOffset>
            </wp:positionH>
            <wp:positionV relativeFrom="paragraph">
              <wp:posOffset>596265</wp:posOffset>
            </wp:positionV>
            <wp:extent cx="4482465" cy="1923415"/>
            <wp:effectExtent l="0" t="0" r="13335" b="635"/>
            <wp:wrapTopAndBottom/>
            <wp:docPr id="18" name="图片 18" descr="C:\Users\Administrator\AppData\Local\Temp\ksohtml\wpsA5B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AppData\Local\Temp\ksohtml\wpsA5B2.tmp.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482465" cy="1923415"/>
                    </a:xfrm>
                    <a:prstGeom prst="rect">
                      <a:avLst/>
                    </a:prstGeom>
                    <a:noFill/>
                    <a:ln>
                      <a:noFill/>
                    </a:ln>
                  </pic:spPr>
                </pic:pic>
              </a:graphicData>
            </a:graphic>
          </wp:anchor>
        </w:drawing>
      </w:r>
      <w:r>
        <w:rPr>
          <w:rFonts w:ascii="仿宋_GB2312" w:eastAsia="仿宋_GB2312" w:hAnsi="仿宋_GB2312" w:cs="仿宋_GB2312" w:hint="eastAsia"/>
          <w:color w:val="000000" w:themeColor="text1"/>
          <w:sz w:val="24"/>
          <w:szCs w:val="24"/>
        </w:rPr>
        <w:t>2.</w:t>
      </w:r>
      <w:r>
        <w:rPr>
          <w:rFonts w:ascii="仿宋_GB2312" w:eastAsia="仿宋_GB2312" w:hAnsi="仿宋_GB2312" w:cs="仿宋_GB2312"/>
          <w:color w:val="000000" w:themeColor="text1"/>
          <w:sz w:val="24"/>
          <w:szCs w:val="24"/>
        </w:rPr>
        <w:t>读者凭本人一卡通或读者证办理书刊借阅手续。借书范围、册数及期限规定如下表：</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备注：借期以天为计量单位。</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3.</w:t>
      </w:r>
      <w:r>
        <w:rPr>
          <w:rFonts w:ascii="仿宋_GB2312" w:eastAsia="仿宋_GB2312" w:hAnsi="仿宋_GB2312" w:cs="仿宋_GB2312"/>
          <w:color w:val="000000" w:themeColor="text1"/>
          <w:sz w:val="24"/>
          <w:szCs w:val="24"/>
        </w:rPr>
        <w:t>逾期归还的书刊，每册每天需交纳违约金0.1元。逾期未还或未交清违约金者，暂停其借阅权利。</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4.</w:t>
      </w:r>
      <w:r>
        <w:rPr>
          <w:rFonts w:ascii="仿宋_GB2312" w:eastAsia="仿宋_GB2312" w:hAnsi="仿宋_GB2312" w:cs="仿宋_GB2312"/>
          <w:color w:val="000000" w:themeColor="text1"/>
          <w:sz w:val="24"/>
          <w:szCs w:val="24"/>
        </w:rPr>
        <w:t>所借书刊于元旦、五一、国庆节假日到期者，应于节假日前归还；如遇寒暑假到期，可延至开学后十天内归还。如遇因病住院或其他非人为原因造成逾期者，可在回校一周内持所在学院的有关证明来馆办理归还手续，超过一周则按章交纳违约金。学生毕业实习前应持所在学院证明并以班为单位来馆办理图书延期手续，否则按正常借期处理。</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（二）违章处理办法与读者入库（室）守则的具体规定请进入图书馆网站</w:t>
      </w:r>
      <w:r>
        <w:rPr>
          <w:rFonts w:ascii="Times New Roman" w:eastAsia="仿宋_GB2312" w:hAnsi="Times New Roman" w:hint="eastAsia"/>
          <w:color w:val="000000" w:themeColor="text1"/>
          <w:sz w:val="24"/>
          <w:szCs w:val="24"/>
        </w:rPr>
        <w:lastRenderedPageBreak/>
        <w:t>（</w:t>
      </w:r>
      <w:hyperlink r:id="rId37" w:history="1">
        <w:r>
          <w:rPr>
            <w:rStyle w:val="15"/>
            <w:rFonts w:ascii="Times New Roman" w:eastAsia="仿宋_GB2312" w:hAnsi="Times New Roman" w:cs="Times New Roman"/>
            <w:color w:val="000000" w:themeColor="text1"/>
            <w:sz w:val="24"/>
            <w:szCs w:val="24"/>
          </w:rPr>
          <w:t>http://lib.gzhu.edu.cn/</w:t>
        </w:r>
      </w:hyperlink>
      <w:r>
        <w:rPr>
          <w:rFonts w:ascii="Times New Roman" w:eastAsia="仿宋_GB2312" w:hAnsi="Times New Roman" w:hint="eastAsia"/>
          <w:color w:val="000000" w:themeColor="text1"/>
          <w:sz w:val="24"/>
          <w:szCs w:val="24"/>
        </w:rPr>
        <w:t>）</w:t>
      </w:r>
      <w:r>
        <w:rPr>
          <w:rFonts w:ascii="仿宋_GB2312" w:eastAsia="仿宋_GB2312" w:hAnsi="仿宋_GB2312" w:cs="仿宋_GB2312" w:hint="eastAsia"/>
          <w:color w:val="000000" w:themeColor="text1"/>
          <w:sz w:val="24"/>
          <w:szCs w:val="24"/>
        </w:rPr>
        <w:t>点击“馆藏服务”下的“管理制度”进行查询。</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业务咨询：流通部</w:t>
      </w:r>
      <w:r>
        <w:rPr>
          <w:rFonts w:ascii="仿宋_GB2312" w:eastAsia="仿宋_GB2312" w:hAnsi="仿宋_GB2312" w:cs="仿宋_GB2312"/>
          <w:color w:val="000000" w:themeColor="text1"/>
          <w:sz w:val="24"/>
          <w:szCs w:val="24"/>
        </w:rPr>
        <w:t xml:space="preserve"> 39366383</w:t>
      </w:r>
    </w:p>
    <w:p w:rsidR="00E37845" w:rsidRDefault="00E22BDD">
      <w:pPr>
        <w:adjustRightInd w:val="0"/>
        <w:snapToGrid w:val="0"/>
        <w:spacing w:line="360" w:lineRule="auto"/>
        <w:ind w:firstLineChars="200"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三、图书馆学科服务</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楷体_GB2312" w:eastAsia="楷体_GB2312" w:hAnsi="楷体_GB2312" w:cs="楷体_GB2312" w:hint="eastAsia"/>
          <w:color w:val="000000" w:themeColor="text1"/>
          <w:sz w:val="24"/>
          <w:szCs w:val="24"/>
        </w:rPr>
        <w:t>（一）科技查新服务</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2015年，广州大学科技查新工作站获得教育部正式认定，成为教育部直属，具有部级查新资质的理工类科技查新工作站（统一编号L38）。查新站面向我校和广州市、广东省以及邻近省份的高校、政府机构、工矿企业、科研院所开展科技查新与咨询服务。</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楷体_GB2312" w:eastAsia="楷体_GB2312" w:hAnsi="楷体_GB2312" w:cs="楷体_GB2312" w:hint="eastAsia"/>
          <w:color w:val="000000" w:themeColor="text1"/>
          <w:sz w:val="24"/>
          <w:szCs w:val="24"/>
        </w:rPr>
        <w:t>（二）学科服务</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为进一步做好服务师生的信息服务工作，促进我校高水平大学建设，近年来，图书馆在参考咨询业务的基础上，积极为全校师生提供学科建设服务。可以为全校师生提供定题检索，论文查收查引、收录证明和</w:t>
      </w:r>
      <w:r>
        <w:rPr>
          <w:rFonts w:ascii="仿宋_GB2312" w:eastAsia="仿宋_GB2312" w:hAnsi="仿宋_GB2312" w:cs="仿宋_GB2312"/>
          <w:color w:val="000000" w:themeColor="text1"/>
          <w:sz w:val="24"/>
          <w:szCs w:val="24"/>
        </w:rPr>
        <w:t>ESI学科分析等学科建设相关的信息服务。</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业务咨询：学科服务部</w:t>
      </w:r>
      <w:r>
        <w:rPr>
          <w:rFonts w:ascii="仿宋_GB2312" w:eastAsia="仿宋_GB2312" w:hAnsi="仿宋_GB2312" w:cs="仿宋_GB2312"/>
          <w:color w:val="000000" w:themeColor="text1"/>
          <w:sz w:val="24"/>
          <w:szCs w:val="24"/>
        </w:rPr>
        <w:t xml:space="preserve"> 39366270 </w:t>
      </w:r>
    </w:p>
    <w:p w:rsidR="00E37845" w:rsidRDefault="00E22BDD">
      <w:pPr>
        <w:adjustRightInd w:val="0"/>
        <w:snapToGrid w:val="0"/>
        <w:spacing w:line="360" w:lineRule="auto"/>
        <w:ind w:firstLineChars="200" w:firstLine="482"/>
        <w:rPr>
          <w:rFonts w:ascii="仿宋_GB2312" w:eastAsia="仿宋_GB2312" w:hAnsi="仿宋_GB2312" w:cs="仿宋_GB2312"/>
          <w:b/>
          <w:bCs/>
          <w:color w:val="000000" w:themeColor="text1"/>
          <w:sz w:val="24"/>
          <w:szCs w:val="24"/>
        </w:rPr>
      </w:pPr>
      <w:r>
        <w:rPr>
          <w:rFonts w:ascii="黑体" w:eastAsia="黑体" w:hAnsi="黑体" w:cs="黑体" w:hint="eastAsia"/>
          <w:b/>
          <w:bCs/>
          <w:color w:val="000000" w:themeColor="text1"/>
          <w:sz w:val="24"/>
          <w:szCs w:val="24"/>
        </w:rPr>
        <w:t>四、移动图书馆服务</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我馆已开通移动图书馆服务，全校读者可通过手机等移动设备访问，用网上图书馆账号和密码登录注册后，即可使用。服务内容包括在线图书、报纸、期刊、学位论文各种资源信息查阅、全文阅读；馆藏查询、个人借阅历史查询与图书续借；接收图书馆短信信息；不受校园网</w:t>
      </w:r>
      <w:r>
        <w:rPr>
          <w:rFonts w:ascii="仿宋_GB2312" w:eastAsia="仿宋_GB2312" w:hAnsi="仿宋_GB2312" w:cs="仿宋_GB2312"/>
          <w:color w:val="000000" w:themeColor="text1"/>
          <w:sz w:val="24"/>
          <w:szCs w:val="24"/>
        </w:rPr>
        <w:t>IP的限制。</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安装与使用指南请进入图书馆网站</w:t>
      </w:r>
      <w:r>
        <w:rPr>
          <w:rFonts w:ascii="Times New Roman" w:eastAsia="仿宋_GB2312" w:hAnsi="Times New Roman" w:hint="eastAsia"/>
          <w:color w:val="000000" w:themeColor="text1"/>
          <w:sz w:val="24"/>
          <w:szCs w:val="24"/>
        </w:rPr>
        <w:t>（</w:t>
      </w:r>
      <w:hyperlink r:id="rId38" w:history="1">
        <w:r>
          <w:rPr>
            <w:rStyle w:val="15"/>
            <w:rFonts w:ascii="Times New Roman" w:eastAsia="仿宋_GB2312" w:hAnsi="Times New Roman" w:cs="Times New Roman"/>
            <w:color w:val="000000" w:themeColor="text1"/>
            <w:sz w:val="24"/>
            <w:szCs w:val="24"/>
          </w:rPr>
          <w:t>http://lib.gzhu.edu.cn/</w:t>
        </w:r>
      </w:hyperlink>
      <w:r>
        <w:rPr>
          <w:rFonts w:ascii="Times New Roman" w:eastAsia="仿宋_GB2312" w:hAnsi="Times New Roman" w:hint="eastAsia"/>
          <w:color w:val="000000" w:themeColor="text1"/>
          <w:sz w:val="24"/>
          <w:szCs w:val="24"/>
        </w:rPr>
        <w:t>）</w:t>
      </w:r>
      <w:r>
        <w:rPr>
          <w:rFonts w:ascii="仿宋_GB2312" w:eastAsia="仿宋_GB2312" w:hAnsi="仿宋_GB2312" w:cs="仿宋_GB2312" w:hint="eastAsia"/>
          <w:color w:val="000000" w:themeColor="text1"/>
          <w:sz w:val="24"/>
          <w:szCs w:val="24"/>
        </w:rPr>
        <w:t>点击“移动图书馆”下载。</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业务咨询：技术服务部</w:t>
      </w:r>
      <w:r>
        <w:rPr>
          <w:rFonts w:ascii="仿宋_GB2312" w:eastAsia="仿宋_GB2312" w:hAnsi="仿宋_GB2312" w:cs="仿宋_GB2312"/>
          <w:color w:val="000000" w:themeColor="text1"/>
          <w:sz w:val="24"/>
          <w:szCs w:val="24"/>
        </w:rPr>
        <w:t xml:space="preserve"> 39366386</w:t>
      </w:r>
    </w:p>
    <w:p w:rsidR="00E37845" w:rsidRDefault="00E22BDD">
      <w:pPr>
        <w:adjustRightInd w:val="0"/>
        <w:snapToGrid w:val="0"/>
        <w:spacing w:line="360" w:lineRule="auto"/>
        <w:ind w:firstLineChars="200" w:firstLine="482"/>
        <w:rPr>
          <w:rFonts w:ascii="仿宋_GB2312" w:eastAsia="仿宋_GB2312" w:hAnsi="仿宋_GB2312" w:cs="仿宋_GB2312"/>
          <w:b/>
          <w:bCs/>
          <w:color w:val="000000" w:themeColor="text1"/>
          <w:sz w:val="24"/>
          <w:szCs w:val="24"/>
        </w:rPr>
      </w:pPr>
      <w:r>
        <w:rPr>
          <w:rFonts w:ascii="黑体" w:eastAsia="黑体" w:hAnsi="黑体" w:cs="黑体" w:hint="eastAsia"/>
          <w:b/>
          <w:bCs/>
          <w:color w:val="000000" w:themeColor="text1"/>
          <w:sz w:val="24"/>
          <w:szCs w:val="24"/>
        </w:rPr>
        <w:t>五、校外访问图书馆</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校外访问服务是图书馆为方便广大师生在校外使用图书馆数字资源而开设的传统网络服务。通过</w:t>
      </w:r>
      <w:r>
        <w:rPr>
          <w:rFonts w:ascii="仿宋_GB2312" w:eastAsia="仿宋_GB2312" w:hAnsi="仿宋_GB2312" w:cs="仿宋_GB2312"/>
          <w:color w:val="000000" w:themeColor="text1"/>
          <w:sz w:val="24"/>
          <w:szCs w:val="24"/>
        </w:rPr>
        <w:t>VPN，读者可以方便的接入校园网，访问那些限定了校园网才能访问的资源。图书馆新的VPN设备支持目前主流Windows、MacOS、Linux、Android、IOS等操作系统及移动终端，使用方便快捷。</w:t>
      </w:r>
    </w:p>
    <w:p w:rsidR="00E37845" w:rsidRDefault="00E22BDD">
      <w:pPr>
        <w:adjustRightInd w:val="0"/>
        <w:snapToGrid w:val="0"/>
        <w:spacing w:line="360" w:lineRule="auto"/>
        <w:ind w:firstLineChars="200" w:firstLine="480"/>
        <w:rPr>
          <w:rFonts w:ascii="Times New Roman" w:eastAsia="仿宋_GB2312" w:hAnsi="Times New Roman"/>
          <w:color w:val="000000" w:themeColor="text1"/>
          <w:sz w:val="24"/>
          <w:szCs w:val="24"/>
        </w:rPr>
      </w:pPr>
      <w:r>
        <w:rPr>
          <w:rFonts w:ascii="Times New Roman" w:eastAsia="仿宋_GB2312" w:hAnsi="Times New Roman" w:hint="eastAsia"/>
          <w:color w:val="000000" w:themeColor="text1"/>
          <w:sz w:val="24"/>
          <w:szCs w:val="24"/>
        </w:rPr>
        <w:t>各类操作系统及移动终端使用说明请进入图书馆网站（</w:t>
      </w:r>
      <w:hyperlink r:id="rId39" w:history="1">
        <w:r>
          <w:rPr>
            <w:rFonts w:ascii="Times New Roman" w:eastAsia="仿宋_GB2312" w:hAnsi="Times New Roman"/>
            <w:color w:val="000000" w:themeColor="text1"/>
            <w:sz w:val="24"/>
            <w:szCs w:val="24"/>
          </w:rPr>
          <w:t>http://lib.gzhu.edu.cn/</w:t>
        </w:r>
      </w:hyperlink>
      <w:r>
        <w:rPr>
          <w:rFonts w:ascii="Times New Roman" w:eastAsia="仿宋_GB2312" w:hAnsi="Times New Roman" w:hint="eastAsia"/>
          <w:color w:val="000000" w:themeColor="text1"/>
          <w:sz w:val="24"/>
          <w:szCs w:val="24"/>
        </w:rPr>
        <w:t>）点击“校外访问”下载。</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业务咨询：技术服务部</w:t>
      </w:r>
      <w:r>
        <w:rPr>
          <w:rFonts w:ascii="仿宋_GB2312" w:eastAsia="仿宋_GB2312" w:hAnsi="仿宋_GB2312" w:cs="仿宋_GB2312"/>
          <w:color w:val="000000" w:themeColor="text1"/>
          <w:sz w:val="24"/>
          <w:szCs w:val="24"/>
        </w:rPr>
        <w:t xml:space="preserve"> 39366386</w:t>
      </w:r>
    </w:p>
    <w:p w:rsidR="00E37845" w:rsidRDefault="00E22BDD">
      <w:pPr>
        <w:adjustRightInd w:val="0"/>
        <w:snapToGrid w:val="0"/>
        <w:spacing w:line="360" w:lineRule="auto"/>
        <w:ind w:firstLineChars="200" w:firstLine="482"/>
        <w:rPr>
          <w:rFonts w:ascii="仿宋_GB2312" w:eastAsia="仿宋_GB2312" w:hAnsi="仿宋_GB2312" w:cs="仿宋_GB2312"/>
          <w:b/>
          <w:bCs/>
          <w:color w:val="000000" w:themeColor="text1"/>
          <w:sz w:val="24"/>
          <w:szCs w:val="24"/>
        </w:rPr>
      </w:pPr>
      <w:r>
        <w:rPr>
          <w:rFonts w:ascii="黑体" w:eastAsia="黑体" w:hAnsi="黑体" w:cs="黑体" w:hint="eastAsia"/>
          <w:b/>
          <w:bCs/>
          <w:color w:val="000000" w:themeColor="text1"/>
          <w:sz w:val="24"/>
          <w:szCs w:val="24"/>
        </w:rPr>
        <w:t>六、中文图书荐购</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中文图书荐购简介</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lastRenderedPageBreak/>
        <w:t>为更好地适应学校高水平大学建设的需要，进一步充实和完善图书馆馆藏，优化图书馆馆藏学科结构，更好地满足学校师生教学科研需要，图书馆自主开发了中文图书荐购系统。通过荐购系统，学校师生可以向图书馆推荐自己教学、科研需要的图书，图书馆资源服务部将根据图书馆馆藏实际，及时地进行采购、分编、上架、流通，以满足师生的图书借阅需求。</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中文图书馆荐购系统使用指南</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图书荐购使用，请进入图书馆网站（http://lib.gzhu.edu.cn)，点击“读者服务”下的“中文图书荐购”。</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业务咨询：资源建设部</w:t>
      </w:r>
      <w:r>
        <w:rPr>
          <w:rFonts w:ascii="仿宋_GB2312" w:eastAsia="仿宋_GB2312" w:hAnsi="仿宋_GB2312" w:cs="仿宋_GB2312"/>
          <w:color w:val="000000" w:themeColor="text1"/>
          <w:sz w:val="24"/>
          <w:szCs w:val="24"/>
        </w:rPr>
        <w:t xml:space="preserve"> 39366381</w:t>
      </w:r>
    </w:p>
    <w:p w:rsidR="00E37845" w:rsidRDefault="00E22BDD">
      <w:pPr>
        <w:adjustRightInd w:val="0"/>
        <w:snapToGrid w:val="0"/>
        <w:spacing w:line="360" w:lineRule="auto"/>
        <w:ind w:firstLineChars="200" w:firstLine="48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七、广州文献资源中心</w:t>
      </w:r>
      <w:bookmarkStart w:id="3083" w:name="OLE_LINK1"/>
      <w:bookmarkStart w:id="3084" w:name="OLE_LINK2"/>
      <w:bookmarkEnd w:id="3083"/>
      <w:r>
        <w:rPr>
          <w:rFonts w:ascii="黑体" w:eastAsia="黑体" w:hAnsi="黑体" w:cs="黑体" w:hint="eastAsia"/>
          <w:b/>
          <w:bCs/>
          <w:color w:val="000000" w:themeColor="text1"/>
          <w:sz w:val="24"/>
          <w:szCs w:val="24"/>
        </w:rPr>
        <w:t>预约空间</w:t>
      </w:r>
      <w:bookmarkEnd w:id="3084"/>
      <w:r>
        <w:rPr>
          <w:rFonts w:ascii="黑体" w:eastAsia="黑体" w:hAnsi="黑体" w:cs="黑体" w:hint="eastAsia"/>
          <w:b/>
          <w:bCs/>
          <w:color w:val="000000" w:themeColor="text1"/>
          <w:sz w:val="24"/>
          <w:szCs w:val="24"/>
        </w:rPr>
        <w:t>服务（IC空间预约服务）</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广州文献资源中心预约空间</w:t>
      </w:r>
      <w:r>
        <w:rPr>
          <w:rFonts w:ascii="仿宋_GB2312" w:eastAsia="仿宋_GB2312" w:hAnsi="仿宋_GB2312" w:cs="仿宋_GB2312"/>
          <w:color w:val="000000" w:themeColor="text1"/>
          <w:sz w:val="24"/>
          <w:szCs w:val="24"/>
        </w:rPr>
        <w:t>,是一种新型的学习模式，一种共享的交流社区。配置计算机、网络、有线电视、投影仪等设施及常用的专业软件，打通了通信载体、内容分类、物理空间的界限，提供资源的一站式服务，读者在享受最新的阅读体验的同时可以对空间进行多信息的交互和共享。</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预约空间为承担学科建设、科研项目、创新项目的教职工个人及集体、学生团体提供学习、交流研讨使用。</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Times New Roman" w:eastAsia="仿宋_GB2312" w:hAnsi="Times New Roman" w:hint="eastAsia"/>
          <w:color w:val="000000" w:themeColor="text1"/>
          <w:sz w:val="24"/>
          <w:szCs w:val="24"/>
        </w:rPr>
        <w:t>广州文献资源中心空间预约使用方法、规则及指引请进入图书馆网站（</w:t>
      </w:r>
      <w:hyperlink r:id="rId40" w:history="1">
        <w:r>
          <w:rPr>
            <w:rStyle w:val="15"/>
            <w:rFonts w:ascii="Times New Roman" w:eastAsia="仿宋_GB2312" w:hAnsi="Times New Roman" w:cs="Times New Roman"/>
            <w:color w:val="000000" w:themeColor="text1"/>
            <w:sz w:val="24"/>
            <w:szCs w:val="24"/>
          </w:rPr>
          <w:t>http://lib.gzhu.edu.cn/</w:t>
        </w:r>
      </w:hyperlink>
      <w:r>
        <w:rPr>
          <w:rFonts w:ascii="Times New Roman" w:eastAsia="仿宋_GB2312" w:hAnsi="Times New Roman" w:hint="eastAsia"/>
          <w:color w:val="000000" w:themeColor="text1"/>
          <w:sz w:val="24"/>
          <w:szCs w:val="24"/>
        </w:rPr>
        <w:t>）</w:t>
      </w:r>
      <w:r>
        <w:rPr>
          <w:rFonts w:ascii="仿宋_GB2312" w:eastAsia="仿宋_GB2312" w:hAnsi="仿宋_GB2312" w:cs="仿宋_GB2312" w:hint="eastAsia"/>
          <w:color w:val="000000" w:themeColor="text1"/>
          <w:sz w:val="24"/>
          <w:szCs w:val="24"/>
        </w:rPr>
        <w:t>点击“读者服务”下的“</w:t>
      </w:r>
      <w:r>
        <w:rPr>
          <w:rFonts w:ascii="仿宋_GB2312" w:eastAsia="仿宋_GB2312" w:hAnsi="仿宋_GB2312" w:cs="仿宋_GB2312"/>
          <w:color w:val="000000" w:themeColor="text1"/>
          <w:sz w:val="24"/>
          <w:szCs w:val="24"/>
        </w:rPr>
        <w:t>IC空间预约”进行查询。</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业务咨询：广州文献资源中心</w:t>
      </w:r>
      <w:r>
        <w:rPr>
          <w:rFonts w:ascii="仿宋_GB2312" w:eastAsia="仿宋_GB2312" w:hAnsi="仿宋_GB2312" w:cs="仿宋_GB2312"/>
          <w:color w:val="000000" w:themeColor="text1"/>
          <w:sz w:val="24"/>
          <w:szCs w:val="24"/>
        </w:rPr>
        <w:t>39366378</w:t>
      </w:r>
    </w:p>
    <w:p w:rsidR="00E37845" w:rsidRDefault="00E22BDD">
      <w:pPr>
        <w:adjustRightInd w:val="0"/>
        <w:snapToGrid w:val="0"/>
        <w:spacing w:line="360" w:lineRule="auto"/>
        <w:ind w:firstLineChars="200" w:firstLine="482"/>
        <w:rPr>
          <w:rFonts w:ascii="仿宋_GB2312" w:eastAsia="仿宋_GB2312" w:hAnsi="仿宋_GB2312" w:cs="仿宋_GB2312"/>
          <w:b/>
          <w:bCs/>
          <w:color w:val="000000" w:themeColor="text1"/>
          <w:sz w:val="24"/>
          <w:szCs w:val="24"/>
        </w:rPr>
      </w:pPr>
      <w:r>
        <w:rPr>
          <w:rFonts w:ascii="黑体" w:eastAsia="黑体" w:hAnsi="黑体" w:cs="黑体" w:hint="eastAsia"/>
          <w:b/>
          <w:bCs/>
          <w:color w:val="000000" w:themeColor="text1"/>
          <w:sz w:val="24"/>
          <w:szCs w:val="24"/>
        </w:rPr>
        <w:t>八、大学城十校馆际互借</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为加强广州大学城十校图书馆之间的交流与合作，充分开发和利用各校图书馆的文献信息资源，建设大学城知识共享平台，提升广州大学城高校的文献保障能力和信息服务水平。广州大学城十校图书馆共同协定开展十校图书馆馆际互借服务。</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本校读者可通过以下“</w:t>
      </w:r>
      <w:hyperlink r:id="rId41" w:history="1">
        <w:r>
          <w:rPr>
            <w:rStyle w:val="af2"/>
            <w:rFonts w:ascii="仿宋_GB2312" w:eastAsia="仿宋_GB2312" w:hAnsi="仿宋_GB2312" w:cs="仿宋_GB2312" w:hint="eastAsia"/>
            <w:color w:val="000000" w:themeColor="text1"/>
            <w:sz w:val="24"/>
            <w:szCs w:val="24"/>
          </w:rPr>
          <w:t>广州大学城十校图书馆馆际互借系统</w:t>
        </w:r>
      </w:hyperlink>
      <w:r>
        <w:rPr>
          <w:rFonts w:ascii="仿宋_GB2312" w:eastAsia="仿宋_GB2312" w:hAnsi="仿宋_GB2312" w:cs="仿宋_GB2312" w:hint="eastAsia"/>
          <w:color w:val="000000" w:themeColor="text1"/>
          <w:sz w:val="24"/>
          <w:szCs w:val="24"/>
        </w:rPr>
        <w:t>”提交馆际互借申请，借阅大学城十校图书馆内可供流通的中、外文普通图书（参考书、工具书、古籍、期刊、学位论文等不外借文献暂不纳入馆际互借的范围），借阅册数为</w:t>
      </w:r>
      <w:r>
        <w:rPr>
          <w:rFonts w:ascii="仿宋_GB2312" w:eastAsia="仿宋_GB2312" w:hAnsi="仿宋_GB2312" w:cs="仿宋_GB2312"/>
          <w:color w:val="000000" w:themeColor="text1"/>
          <w:sz w:val="24"/>
          <w:szCs w:val="24"/>
        </w:rPr>
        <w:t>5册，借期30天。</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欢迎大家使用“广州大学城十校图书馆馆际互借系统”！具体流程详见图书馆网站</w:t>
      </w:r>
      <w:r>
        <w:rPr>
          <w:rFonts w:ascii="Times New Roman" w:eastAsia="仿宋_GB2312" w:hAnsi="Times New Roman" w:hint="eastAsia"/>
          <w:color w:val="000000" w:themeColor="text1"/>
          <w:sz w:val="24"/>
          <w:szCs w:val="24"/>
        </w:rPr>
        <w:t>（</w:t>
      </w:r>
      <w:hyperlink r:id="rId42" w:history="1">
        <w:r>
          <w:rPr>
            <w:rStyle w:val="15"/>
            <w:rFonts w:ascii="Times New Roman" w:eastAsia="仿宋_GB2312" w:hAnsi="Times New Roman" w:cs="Times New Roman" w:hint="eastAsia"/>
            <w:color w:val="000000" w:themeColor="text1"/>
            <w:sz w:val="24"/>
            <w:szCs w:val="24"/>
          </w:rPr>
          <w:t>http://lib.gzhu.edu.cn/</w:t>
        </w:r>
        <w:r>
          <w:rPr>
            <w:rStyle w:val="15"/>
            <w:rFonts w:ascii="Times New Roman" w:eastAsia="仿宋_GB2312" w:hAnsi="Times New Roman" w:cs="Times New Roman" w:hint="eastAsia"/>
            <w:color w:val="000000" w:themeColor="text1"/>
            <w:sz w:val="24"/>
            <w:szCs w:val="24"/>
          </w:rPr>
          <w:t>）</w:t>
        </w:r>
      </w:hyperlink>
      <w:r>
        <w:rPr>
          <w:rFonts w:ascii="仿宋_GB2312" w:eastAsia="仿宋_GB2312" w:hAnsi="仿宋_GB2312" w:cs="仿宋_GB2312" w:hint="eastAsia"/>
          <w:color w:val="000000" w:themeColor="text1"/>
          <w:sz w:val="24"/>
          <w:szCs w:val="24"/>
        </w:rPr>
        <w:t>“读者服务”栏目下的“大学城十校馆际互借”，业务咨询：流通部</w:t>
      </w:r>
      <w:r>
        <w:rPr>
          <w:rFonts w:ascii="仿宋_GB2312" w:eastAsia="仿宋_GB2312" w:hAnsi="仿宋_GB2312" w:cs="仿宋_GB2312"/>
          <w:color w:val="000000" w:themeColor="text1"/>
          <w:sz w:val="24"/>
          <w:szCs w:val="24"/>
        </w:rPr>
        <w:t xml:space="preserve">39366383 </w:t>
      </w:r>
    </w:p>
    <w:p w:rsidR="00E37845" w:rsidRDefault="00E22BDD">
      <w:pPr>
        <w:adjustRightInd w:val="0"/>
        <w:snapToGrid w:val="0"/>
        <w:spacing w:line="360" w:lineRule="auto"/>
        <w:ind w:firstLineChars="200" w:firstLine="482"/>
        <w:rPr>
          <w:rFonts w:ascii="仿宋_GB2312" w:eastAsia="仿宋_GB2312" w:hAnsi="仿宋_GB2312" w:cs="仿宋_GB2312"/>
          <w:b/>
          <w:bCs/>
          <w:color w:val="000000" w:themeColor="text1"/>
          <w:sz w:val="24"/>
          <w:szCs w:val="24"/>
        </w:rPr>
      </w:pPr>
      <w:r>
        <w:rPr>
          <w:rFonts w:ascii="黑体" w:eastAsia="黑体" w:hAnsi="黑体" w:cs="黑体" w:hint="eastAsia"/>
          <w:b/>
          <w:bCs/>
          <w:color w:val="000000" w:themeColor="text1"/>
          <w:sz w:val="24"/>
          <w:szCs w:val="24"/>
        </w:rPr>
        <w:t>九、文献传递服务</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lastRenderedPageBreak/>
        <w:t>中国高校人文社会科学文献中心</w:t>
      </w:r>
      <w:r>
        <w:rPr>
          <w:rFonts w:ascii="Times New Roman" w:eastAsia="仿宋_GB2312" w:hAnsi="Times New Roman" w:hint="eastAsia"/>
          <w:color w:val="000000" w:themeColor="text1"/>
          <w:sz w:val="24"/>
          <w:szCs w:val="24"/>
        </w:rPr>
        <w:t>（</w:t>
      </w:r>
      <w:r>
        <w:rPr>
          <w:rFonts w:ascii="Times New Roman" w:eastAsia="仿宋_GB2312" w:hAnsi="Times New Roman" w:hint="eastAsia"/>
          <w:color w:val="000000" w:themeColor="text1"/>
          <w:sz w:val="24"/>
          <w:szCs w:val="24"/>
        </w:rPr>
        <w:t>China</w:t>
      </w:r>
      <w:r>
        <w:rPr>
          <w:rFonts w:ascii="Times New Roman" w:eastAsia="仿宋_GB2312" w:hAnsi="Times New Roman"/>
          <w:color w:val="000000" w:themeColor="text1"/>
          <w:sz w:val="24"/>
          <w:szCs w:val="24"/>
        </w:rPr>
        <w:t xml:space="preserve"> Academic Social Sciences and Humanities Library</w:t>
      </w:r>
      <w:r>
        <w:rPr>
          <w:rFonts w:ascii="仿宋_GB2312" w:eastAsia="仿宋_GB2312" w:hAnsi="仿宋_GB2312" w:cs="仿宋_GB2312" w:hint="eastAsia"/>
          <w:color w:val="000000" w:themeColor="text1"/>
          <w:sz w:val="24"/>
          <w:szCs w:val="24"/>
        </w:rPr>
        <w:t>，简称</w:t>
      </w:r>
      <w:r>
        <w:rPr>
          <w:rFonts w:ascii="仿宋_GB2312" w:eastAsia="仿宋_GB2312" w:hAnsi="仿宋_GB2312" w:cs="仿宋_GB2312"/>
          <w:color w:val="000000" w:themeColor="text1"/>
          <w:sz w:val="24"/>
          <w:szCs w:val="24"/>
        </w:rPr>
        <w:t>CASHL）于2004年3月15日正式启动。CASHL目前收藏有1.3万种外文印本期刊，70多万种外文印本图书，1900种电子期刊，34万种电子图书，58种大型特藏文献，可提供资源检索、文献传递、复制非返还、代查代检、参考咨询、学科特色资源、CASHL大型特藏等服务。</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我校图书馆于</w:t>
      </w:r>
      <w:r>
        <w:rPr>
          <w:rFonts w:ascii="仿宋_GB2312" w:eastAsia="仿宋_GB2312" w:hAnsi="仿宋_GB2312" w:cs="仿宋_GB2312"/>
          <w:color w:val="000000" w:themeColor="text1"/>
          <w:sz w:val="24"/>
          <w:szCs w:val="24"/>
        </w:rPr>
        <w:t>2004年10月与CASHL签订协议，是CASHL成员馆，我馆读者在CASHL主页进行注册并经图书馆确认后，即可成为合法用户，享受CASHL提供的信息服务。</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使用指引请参考图书馆网站</w:t>
      </w:r>
      <w:r>
        <w:rPr>
          <w:rFonts w:ascii="Times New Roman" w:eastAsia="仿宋_GB2312" w:hAnsi="Times New Roman" w:hint="eastAsia"/>
          <w:color w:val="000000" w:themeColor="text1"/>
          <w:sz w:val="24"/>
          <w:szCs w:val="24"/>
        </w:rPr>
        <w:t>（</w:t>
      </w:r>
      <w:hyperlink r:id="rId43" w:history="1">
        <w:r>
          <w:rPr>
            <w:rStyle w:val="15"/>
            <w:rFonts w:ascii="Times New Roman" w:eastAsia="仿宋_GB2312" w:hAnsi="Times New Roman" w:cs="Times New Roman" w:hint="eastAsia"/>
            <w:color w:val="000000" w:themeColor="text1"/>
            <w:sz w:val="24"/>
            <w:szCs w:val="24"/>
          </w:rPr>
          <w:t>http://lib.gzhu.edu.cn/</w:t>
        </w:r>
        <w:r>
          <w:rPr>
            <w:rStyle w:val="15"/>
            <w:rFonts w:ascii="Times New Roman" w:eastAsia="仿宋_GB2312" w:hAnsi="Times New Roman" w:cs="Times New Roman" w:hint="eastAsia"/>
            <w:color w:val="000000" w:themeColor="text1"/>
            <w:sz w:val="24"/>
            <w:szCs w:val="24"/>
          </w:rPr>
          <w:t>）</w:t>
        </w:r>
      </w:hyperlink>
      <w:r>
        <w:rPr>
          <w:rFonts w:ascii="仿宋_GB2312" w:eastAsia="仿宋_GB2312" w:hAnsi="仿宋_GB2312" w:cs="仿宋_GB2312" w:hint="eastAsia"/>
          <w:color w:val="000000" w:themeColor="text1"/>
          <w:sz w:val="24"/>
          <w:szCs w:val="24"/>
        </w:rPr>
        <w:t>“学科服务”栏目下的“文献传递服务”。</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业务咨询：信息服务部</w:t>
      </w:r>
      <w:r>
        <w:rPr>
          <w:rFonts w:ascii="仿宋_GB2312" w:eastAsia="仿宋_GB2312" w:hAnsi="仿宋_GB2312" w:cs="仿宋_GB2312"/>
          <w:color w:val="000000" w:themeColor="text1"/>
          <w:sz w:val="24"/>
          <w:szCs w:val="24"/>
        </w:rPr>
        <w:t>39366385</w:t>
      </w:r>
      <w:r>
        <w:rPr>
          <w:rFonts w:ascii="仿宋_GB2312" w:eastAsia="仿宋_GB2312" w:hAnsi="仿宋_GB2312" w:cs="仿宋_GB2312"/>
          <w:color w:val="000000" w:themeColor="text1"/>
          <w:sz w:val="24"/>
          <w:szCs w:val="24"/>
        </w:rPr>
        <w:br w:type="page"/>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3085" w:name="_Toc31718"/>
      <w:bookmarkStart w:id="3086" w:name="_Toc6948"/>
      <w:bookmarkStart w:id="3087" w:name="_Toc19477"/>
      <w:bookmarkStart w:id="3088" w:name="_Toc14192"/>
      <w:bookmarkStart w:id="3089" w:name="_Toc16963"/>
      <w:bookmarkStart w:id="3090" w:name="_Toc15091"/>
      <w:bookmarkStart w:id="3091" w:name="_Toc6620"/>
      <w:bookmarkStart w:id="3092" w:name="_Toc15914"/>
      <w:bookmarkStart w:id="3093" w:name="_Toc10312"/>
      <w:bookmarkStart w:id="3094" w:name="_Toc1403"/>
      <w:bookmarkStart w:id="3095" w:name="_Toc10038"/>
      <w:bookmarkStart w:id="3096" w:name="_Toc13262"/>
      <w:bookmarkStart w:id="3097" w:name="_Toc9589"/>
      <w:bookmarkStart w:id="3098" w:name="_Toc22155"/>
      <w:bookmarkStart w:id="3099" w:name="_Toc5418"/>
      <w:bookmarkStart w:id="3100" w:name="_Toc26272"/>
      <w:bookmarkStart w:id="3101" w:name="_Toc6167"/>
      <w:bookmarkStart w:id="3102" w:name="_Toc30393"/>
      <w:bookmarkStart w:id="3103" w:name="_Toc15771"/>
      <w:bookmarkStart w:id="3104" w:name="_Toc25923"/>
      <w:bookmarkStart w:id="3105" w:name="_Toc5075"/>
      <w:bookmarkStart w:id="3106" w:name="_Toc9163"/>
      <w:bookmarkStart w:id="3107" w:name="_Toc22109"/>
      <w:bookmarkStart w:id="3108" w:name="_Toc7595"/>
      <w:bookmarkStart w:id="3109" w:name="_Toc17158"/>
      <w:bookmarkStart w:id="3110" w:name="_Toc519781051"/>
      <w:bookmarkStart w:id="3111" w:name="_Toc4958"/>
      <w:bookmarkStart w:id="3112" w:name="_Toc12110"/>
      <w:bookmarkStart w:id="3113" w:name="_Toc30738"/>
      <w:bookmarkStart w:id="3114" w:name="_Toc3328"/>
      <w:r>
        <w:rPr>
          <w:rFonts w:ascii="黑体" w:eastAsia="黑体" w:hAnsi="黑体" w:cs="黑体" w:hint="eastAsia"/>
          <w:color w:val="000000" w:themeColor="text1"/>
          <w:sz w:val="28"/>
          <w:szCs w:val="28"/>
        </w:rPr>
        <w:lastRenderedPageBreak/>
        <w:t>11.2校园安全保卫</w:t>
      </w:r>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3115" w:name="_Toc22714"/>
      <w:bookmarkStart w:id="3116" w:name="_Toc20463"/>
      <w:bookmarkStart w:id="3117" w:name="_Toc24385"/>
      <w:bookmarkStart w:id="3118" w:name="_Toc7982"/>
      <w:bookmarkStart w:id="3119" w:name="_Toc7919"/>
      <w:bookmarkStart w:id="3120" w:name="_Toc7927"/>
      <w:bookmarkStart w:id="3121" w:name="_Toc29651"/>
      <w:bookmarkStart w:id="3122" w:name="_Toc30206"/>
      <w:bookmarkStart w:id="3123" w:name="_Toc18093"/>
      <w:bookmarkStart w:id="3124" w:name="_Toc18850"/>
      <w:bookmarkStart w:id="3125" w:name="_Toc25092"/>
      <w:bookmarkStart w:id="3126" w:name="_Toc519781053"/>
      <w:bookmarkStart w:id="3127" w:name="_Toc13272"/>
      <w:bookmarkStart w:id="3128" w:name="_Toc4214"/>
      <w:bookmarkStart w:id="3129" w:name="_Toc20273"/>
      <w:bookmarkStart w:id="3130" w:name="_Toc3594"/>
      <w:bookmarkStart w:id="3131" w:name="_Toc25121"/>
      <w:bookmarkStart w:id="3132" w:name="_Toc21789"/>
      <w:bookmarkStart w:id="3133" w:name="_Toc12069"/>
      <w:bookmarkStart w:id="3134" w:name="_Toc9630"/>
      <w:bookmarkStart w:id="3135" w:name="_Toc9296"/>
      <w:bookmarkStart w:id="3136" w:name="_Toc14533"/>
      <w:bookmarkStart w:id="3137" w:name="_Toc9065"/>
      <w:bookmarkStart w:id="3138" w:name="_Toc7586"/>
      <w:bookmarkStart w:id="3139" w:name="_Toc3049"/>
      <w:bookmarkStart w:id="3140" w:name="_Toc17912"/>
      <w:bookmarkStart w:id="3141" w:name="_Toc5203"/>
      <w:bookmarkStart w:id="3142" w:name="_Toc31088"/>
      <w:bookmarkStart w:id="3143" w:name="_Toc17210"/>
      <w:bookmarkStart w:id="3144" w:name="_Toc29892"/>
      <w:r>
        <w:rPr>
          <w:rFonts w:ascii="黑体" w:eastAsia="黑体" w:hAnsi="黑体" w:cs="黑体" w:hint="eastAsia"/>
          <w:color w:val="000000" w:themeColor="text1"/>
          <w:sz w:val="28"/>
          <w:szCs w:val="28"/>
        </w:rPr>
        <w:t>11.2.</w:t>
      </w:r>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r>
        <w:rPr>
          <w:rFonts w:ascii="黑体" w:eastAsia="黑体" w:hAnsi="黑体" w:cs="黑体" w:hint="eastAsia"/>
          <w:color w:val="000000" w:themeColor="text1"/>
          <w:sz w:val="28"/>
          <w:szCs w:val="28"/>
        </w:rPr>
        <w:t>1学校总值班室工作职能</w:t>
      </w:r>
      <w:bookmarkEnd w:id="3138"/>
      <w:bookmarkEnd w:id="3139"/>
      <w:bookmarkEnd w:id="3140"/>
      <w:bookmarkEnd w:id="3141"/>
      <w:bookmarkEnd w:id="3142"/>
      <w:bookmarkEnd w:id="3143"/>
      <w:bookmarkEnd w:id="3144"/>
    </w:p>
    <w:p w:rsidR="00E37845" w:rsidRDefault="00E22BDD">
      <w:pPr>
        <w:adjustRightInd w:val="0"/>
        <w:snapToGrid w:val="0"/>
        <w:spacing w:line="360" w:lineRule="auto"/>
        <w:ind w:firstLineChars="200" w:firstLine="560"/>
        <w:jc w:val="center"/>
        <w:rPr>
          <w:rFonts w:ascii="方正大标宋简体" w:eastAsia="方正大标宋简体" w:hAnsi="方正大标宋简体" w:cs="方正大标宋简体"/>
          <w:color w:val="000000" w:themeColor="text1"/>
          <w:sz w:val="28"/>
          <w:szCs w:val="28"/>
        </w:rPr>
      </w:pPr>
      <w:r>
        <w:rPr>
          <w:rFonts w:ascii="方正大标宋简体" w:eastAsia="方正大标宋简体" w:hAnsi="方正大标宋简体" w:cs="方正大标宋简体" w:hint="eastAsia"/>
          <w:color w:val="000000" w:themeColor="text1"/>
          <w:sz w:val="28"/>
          <w:szCs w:val="28"/>
        </w:rPr>
        <w:t>学校总值班室工作职能</w:t>
      </w:r>
    </w:p>
    <w:p w:rsidR="00E37845" w:rsidRDefault="00E22BDD">
      <w:pPr>
        <w:adjustRightInd w:val="0"/>
        <w:snapToGrid w:val="0"/>
        <w:spacing w:line="360" w:lineRule="auto"/>
        <w:ind w:rightChars="-52" w:right="-109"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在学校党政领导下，学校总值班室实行</w:t>
      </w:r>
      <w:r>
        <w:rPr>
          <w:rFonts w:ascii="仿宋_GB2312" w:eastAsia="仿宋_GB2312" w:hAnsi="仿宋_GB2312" w:cs="仿宋_GB2312"/>
          <w:color w:val="000000" w:themeColor="text1"/>
          <w:sz w:val="24"/>
          <w:szCs w:val="24"/>
        </w:rPr>
        <w:t>24小时坐班制度，</w:t>
      </w:r>
      <w:r>
        <w:rPr>
          <w:rFonts w:ascii="仿宋_GB2312" w:eastAsia="仿宋_GB2312" w:hAnsi="仿宋_GB2312" w:cs="仿宋_GB2312" w:hint="eastAsia"/>
          <w:color w:val="000000" w:themeColor="text1"/>
          <w:sz w:val="24"/>
          <w:szCs w:val="24"/>
        </w:rPr>
        <w:t>全面负责校园总值班的日常事务及校园突发事件应急处置。主要职能如下</w:t>
      </w:r>
      <w:r>
        <w:rPr>
          <w:rFonts w:ascii="仿宋_GB2312" w:eastAsia="仿宋_GB2312" w:hAnsi="仿宋_GB2312" w:cs="仿宋_GB2312"/>
          <w:color w:val="000000" w:themeColor="text1"/>
          <w:sz w:val="24"/>
          <w:szCs w:val="24"/>
        </w:rPr>
        <w:t>.</w:t>
      </w:r>
    </w:p>
    <w:p w:rsidR="00E37845" w:rsidRDefault="00E22BDD">
      <w:pPr>
        <w:adjustRightInd w:val="0"/>
        <w:snapToGrid w:val="0"/>
        <w:spacing w:line="360" w:lineRule="auto"/>
        <w:ind w:rightChars="-52" w:right="-109"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一、建立起学校总值班人员和有关部门（学生处、教务处、后勤服务处和经营资产管理办公室等）值班人员的值班网络，加强信息交流，遇突发事件，确保在第一时间传达到位、协调到位、组织到位。</w:t>
      </w:r>
    </w:p>
    <w:p w:rsidR="00E37845" w:rsidRDefault="00E22BDD">
      <w:pPr>
        <w:adjustRightInd w:val="0"/>
        <w:snapToGrid w:val="0"/>
        <w:spacing w:line="360" w:lineRule="auto"/>
        <w:ind w:rightChars="-52" w:right="-109"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二、检查、督促学校有关部门（学生处、教务处、后勤服务处和经营性资产管理办等）的值班情况，协助与配合这些部门完善值班制度。</w:t>
      </w:r>
    </w:p>
    <w:p w:rsidR="00E37845" w:rsidRDefault="00E22BDD">
      <w:pPr>
        <w:adjustRightInd w:val="0"/>
        <w:snapToGrid w:val="0"/>
        <w:spacing w:line="360" w:lineRule="auto"/>
        <w:ind w:rightChars="-52" w:right="-109"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三、负责寒、暑假期中层干部值班安排及统筹各单位的值班安排。</w:t>
      </w:r>
    </w:p>
    <w:p w:rsidR="00E37845" w:rsidRDefault="00E22BDD">
      <w:pPr>
        <w:adjustRightInd w:val="0"/>
        <w:snapToGrid w:val="0"/>
        <w:spacing w:line="360" w:lineRule="auto"/>
        <w:ind w:rightChars="-52" w:right="-109"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四、制定学校总值班室的管理规章制度，完善校园各类突发事件的应急处置预案。</w:t>
      </w:r>
    </w:p>
    <w:p w:rsidR="00E37845" w:rsidRDefault="00E22BDD">
      <w:pPr>
        <w:adjustRightInd w:val="0"/>
        <w:snapToGrid w:val="0"/>
        <w:spacing w:line="360" w:lineRule="auto"/>
        <w:ind w:rightChars="-52" w:right="-109"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五、负责专任教师值班的检查、督促及协调。</w:t>
      </w:r>
    </w:p>
    <w:p w:rsidR="00E37845" w:rsidRDefault="00E22BDD">
      <w:pPr>
        <w:adjustRightInd w:val="0"/>
        <w:snapToGrid w:val="0"/>
        <w:spacing w:line="360" w:lineRule="auto"/>
        <w:ind w:rightChars="-52" w:right="-109"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六、负责省、市政府及教育行政管理部门的上情下达及学校突发异常情况的报告工作（学校突发异常情况上报经党办、校办审核及主管领导批准后执行）。</w:t>
      </w:r>
    </w:p>
    <w:p w:rsidR="00E37845" w:rsidRDefault="00E22BDD">
      <w:pPr>
        <w:adjustRightInd w:val="0"/>
        <w:snapToGrid w:val="0"/>
        <w:spacing w:line="360" w:lineRule="auto"/>
        <w:ind w:rightChars="-52" w:right="-109"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七、负责校领导值班室的管理工作。</w:t>
      </w:r>
    </w:p>
    <w:p w:rsidR="00E37845" w:rsidRDefault="00E22BDD">
      <w:pPr>
        <w:adjustRightInd w:val="0"/>
        <w:snapToGrid w:val="0"/>
        <w:spacing w:line="360" w:lineRule="auto"/>
        <w:ind w:rightChars="-52" w:right="-109"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八、负责学校总值班室办公设施（备）、用品、用房的管理工作。</w:t>
      </w:r>
    </w:p>
    <w:p w:rsidR="00E37845" w:rsidRDefault="00E22BDD">
      <w:pPr>
        <w:adjustRightInd w:val="0"/>
        <w:snapToGrid w:val="0"/>
        <w:spacing w:line="360" w:lineRule="auto"/>
        <w:ind w:rightChars="-52" w:right="-109"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九、负责校园网络论坛监控及校园视频安全监管工作。</w:t>
      </w:r>
    </w:p>
    <w:p w:rsidR="00E37845" w:rsidRDefault="00E22BDD">
      <w:pPr>
        <w:adjustRightInd w:val="0"/>
        <w:snapToGrid w:val="0"/>
        <w:spacing w:line="360" w:lineRule="auto"/>
        <w:ind w:rightChars="-52" w:right="-109"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sz w:val="24"/>
          <w:szCs w:val="24"/>
        </w:rPr>
        <w:t>十、</w:t>
      </w:r>
      <w:r>
        <w:rPr>
          <w:rFonts w:ascii="仿宋_GB2312" w:eastAsia="仿宋_GB2312" w:hAnsi="仿宋_GB2312" w:cs="仿宋_GB2312" w:hint="eastAsia"/>
          <w:color w:val="000000" w:themeColor="text1"/>
          <w:kern w:val="0"/>
          <w:sz w:val="24"/>
          <w:szCs w:val="24"/>
        </w:rPr>
        <w:t>完成学校领导交办的相关工作任务。</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3145" w:name="_Toc28955"/>
      <w:bookmarkStart w:id="3146" w:name="_Toc17758"/>
      <w:bookmarkStart w:id="3147" w:name="_Toc11271"/>
      <w:bookmarkStart w:id="3148" w:name="_Toc21587"/>
      <w:bookmarkStart w:id="3149" w:name="_Toc26047"/>
      <w:bookmarkStart w:id="3150" w:name="_Toc24031"/>
      <w:bookmarkStart w:id="3151" w:name="_Toc519781055"/>
      <w:bookmarkStart w:id="3152" w:name="_Toc22215"/>
      <w:bookmarkStart w:id="3153" w:name="_Toc22545"/>
      <w:bookmarkStart w:id="3154" w:name="_Toc20686"/>
      <w:bookmarkStart w:id="3155" w:name="_Toc18132"/>
      <w:bookmarkStart w:id="3156" w:name="_Toc20857"/>
      <w:bookmarkStart w:id="3157" w:name="_Toc3157"/>
      <w:bookmarkStart w:id="3158" w:name="_Toc20531"/>
      <w:bookmarkStart w:id="3159" w:name="_Toc21648"/>
      <w:bookmarkStart w:id="3160" w:name="_Toc9454"/>
      <w:bookmarkStart w:id="3161" w:name="_Toc18817"/>
      <w:bookmarkStart w:id="3162" w:name="_Toc18336"/>
      <w:bookmarkStart w:id="3163" w:name="_Toc16235"/>
      <w:bookmarkStart w:id="3164" w:name="_Toc1350"/>
      <w:bookmarkStart w:id="3165" w:name="_Toc10674"/>
      <w:bookmarkStart w:id="3166" w:name="_Toc7951"/>
      <w:bookmarkStart w:id="3167" w:name="_Toc29621"/>
      <w:bookmarkStart w:id="3168" w:name="_Toc24556"/>
      <w:bookmarkStart w:id="3169" w:name="_Toc22352"/>
      <w:bookmarkStart w:id="3170" w:name="_Toc19174"/>
      <w:bookmarkStart w:id="3171" w:name="_Toc5830"/>
      <w:bookmarkStart w:id="3172" w:name="_Toc27178"/>
      <w:bookmarkStart w:id="3173" w:name="_Toc14520"/>
      <w:bookmarkStart w:id="3174" w:name="_Toc20626"/>
      <w:r>
        <w:rPr>
          <w:rFonts w:ascii="黑体" w:eastAsia="黑体" w:hAnsi="黑体" w:cs="黑体" w:hint="eastAsia"/>
          <w:color w:val="000000" w:themeColor="text1"/>
          <w:sz w:val="28"/>
          <w:szCs w:val="28"/>
        </w:rPr>
        <w:t>11.2.2保卫处（武装部）各项业务办事指南</w:t>
      </w:r>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p>
    <w:p w:rsidR="00E37845" w:rsidRDefault="00E22BDD">
      <w:pPr>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一、综合办公室（含户籍管理）</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综治、维稳、政保工作的落实和校内外协调联系，学生征兵、就业政审；处业务经费管理、报账、印章保管使用、办公设备管理工作。办公地点</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行政西后座213室，联系电话</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39366152</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学校集体户口的服务管理工作。办公地点</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行政西后座一楼警务室，联系电话</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39366169</w:t>
      </w:r>
    </w:p>
    <w:p w:rsidR="00E37845" w:rsidRDefault="00E22BDD">
      <w:pPr>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二、治安办公室</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lastRenderedPageBreak/>
        <w:t>校园安全教育、治安防范管理，校园案件报警、查处，视频监控系统管理等工作。办公地点：</w:t>
      </w:r>
      <w:r>
        <w:rPr>
          <w:rFonts w:ascii="仿宋_GB2312" w:eastAsia="仿宋_GB2312" w:hAnsi="仿宋_GB2312" w:cs="仿宋_GB2312"/>
          <w:color w:val="000000" w:themeColor="text1"/>
          <w:sz w:val="24"/>
          <w:szCs w:val="24"/>
        </w:rPr>
        <w:t>行政西后座214室，联系电话</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39366157</w:t>
      </w:r>
    </w:p>
    <w:p w:rsidR="00E37845" w:rsidRDefault="00E22BDD">
      <w:pPr>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三、消防交通与保安监管办</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（一）校园消防安全管理、消防技能、消防安全宣传教育工作。</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（二）校园交通安全防范教育、交通秩序管理、车辆登记等管理工作。</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（三）校园物业保安公司的监管、校园大型活动的安保等工作。</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办公地点：</w:t>
      </w:r>
      <w:r>
        <w:rPr>
          <w:rFonts w:ascii="仿宋_GB2312" w:eastAsia="仿宋_GB2312" w:hAnsi="仿宋_GB2312" w:cs="仿宋_GB2312"/>
          <w:color w:val="000000" w:themeColor="text1"/>
          <w:sz w:val="24"/>
          <w:szCs w:val="24"/>
        </w:rPr>
        <w:t>行政西后座219室，联系电话</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39366159</w:t>
      </w:r>
    </w:p>
    <w:p w:rsidR="00E37845" w:rsidRDefault="00E22BDD">
      <w:pPr>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四、武装工作办公室</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学生军训、征兵、复学安置、民兵预备役、人民防空教育、拥军优属、军民共建等工作。办公地点：</w:t>
      </w:r>
      <w:r>
        <w:rPr>
          <w:rFonts w:ascii="仿宋_GB2312" w:eastAsia="仿宋_GB2312" w:hAnsi="仿宋_GB2312" w:cs="仿宋_GB2312"/>
          <w:color w:val="000000" w:themeColor="text1"/>
          <w:sz w:val="24"/>
          <w:szCs w:val="24"/>
        </w:rPr>
        <w:t>行政西后座218室，联系电话</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39366158</w:t>
      </w:r>
    </w:p>
    <w:p w:rsidR="00E37845" w:rsidRDefault="00E22BDD">
      <w:pPr>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五、校总值班室(应急指挥中心)</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校园总值班（应急管理中心）</w:t>
      </w:r>
      <w:r>
        <w:rPr>
          <w:rFonts w:ascii="仿宋_GB2312" w:eastAsia="仿宋_GB2312" w:hAnsi="仿宋_GB2312" w:cs="仿宋_GB2312"/>
          <w:color w:val="000000" w:themeColor="text1"/>
          <w:sz w:val="24"/>
          <w:szCs w:val="24"/>
        </w:rPr>
        <w:t>24小时坐班值班工作。落实总值班室（应急管理中心）职能范围工作，全面协调校园突发事件应急处置。</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办公地点：</w:t>
      </w:r>
      <w:r>
        <w:rPr>
          <w:rFonts w:ascii="仿宋_GB2312" w:eastAsia="仿宋_GB2312" w:hAnsi="仿宋_GB2312" w:cs="仿宋_GB2312"/>
          <w:color w:val="000000" w:themeColor="text1"/>
          <w:sz w:val="24"/>
          <w:szCs w:val="24"/>
        </w:rPr>
        <w:t>榕轩3一楼，联系电话</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39366110</w:t>
      </w:r>
    </w:p>
    <w:p w:rsidR="00E37845" w:rsidRDefault="00E22BDD">
      <w:pPr>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六、桂花岗校区保卫办公室</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桂花岗校区治安、消防、交通、保安监管、综治、维稳、军训等安全保卫工作。办公地点：</w:t>
      </w:r>
      <w:r>
        <w:rPr>
          <w:rFonts w:ascii="仿宋_GB2312" w:eastAsia="仿宋_GB2312" w:hAnsi="仿宋_GB2312" w:cs="仿宋_GB2312"/>
          <w:color w:val="000000" w:themeColor="text1"/>
          <w:sz w:val="24"/>
          <w:szCs w:val="24"/>
        </w:rPr>
        <w:t>桂花岗校区行政楼206室，联系电话</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86234263</w:t>
      </w:r>
    </w:p>
    <w:p w:rsidR="00E37845" w:rsidRDefault="00E37845">
      <w:pPr>
        <w:adjustRightInd w:val="0"/>
        <w:snapToGrid w:val="0"/>
        <w:spacing w:line="360" w:lineRule="auto"/>
        <w:ind w:firstLineChars="200" w:firstLine="480"/>
        <w:rPr>
          <w:rFonts w:ascii="仿宋_GB2312" w:eastAsia="仿宋_GB2312" w:hAnsi="仿宋_GB2312" w:cs="仿宋_GB2312"/>
          <w:color w:val="000000" w:themeColor="text1"/>
          <w:sz w:val="24"/>
          <w:szCs w:val="24"/>
        </w:rPr>
      </w:pPr>
    </w:p>
    <w:p w:rsidR="00E37845" w:rsidRDefault="00E22BDD">
      <w:pPr>
        <w:widowControl/>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br w:type="page"/>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3175" w:name="_Toc23512"/>
      <w:bookmarkStart w:id="3176" w:name="_Toc28483"/>
      <w:bookmarkStart w:id="3177" w:name="_Toc30609"/>
      <w:bookmarkStart w:id="3178" w:name="_Toc10725"/>
      <w:bookmarkStart w:id="3179" w:name="_Toc26097"/>
      <w:bookmarkStart w:id="3180" w:name="_Toc2286"/>
      <w:bookmarkStart w:id="3181" w:name="_Toc31813"/>
      <w:bookmarkStart w:id="3182" w:name="_Toc13734"/>
      <w:bookmarkStart w:id="3183" w:name="_Toc27754"/>
      <w:bookmarkStart w:id="3184" w:name="_Toc14604"/>
      <w:bookmarkStart w:id="3185" w:name="_Toc15766"/>
      <w:bookmarkStart w:id="3186" w:name="_Toc25677"/>
      <w:bookmarkStart w:id="3187" w:name="_Toc9229"/>
      <w:bookmarkStart w:id="3188" w:name="_Toc25533"/>
      <w:bookmarkStart w:id="3189" w:name="_Toc7904"/>
      <w:bookmarkStart w:id="3190" w:name="_Toc519781056"/>
      <w:bookmarkStart w:id="3191" w:name="_Toc23761"/>
      <w:bookmarkStart w:id="3192" w:name="_Toc29575"/>
      <w:bookmarkStart w:id="3193" w:name="_Toc6766"/>
      <w:bookmarkStart w:id="3194" w:name="_Toc30792"/>
      <w:bookmarkStart w:id="3195" w:name="_Toc15295"/>
      <w:bookmarkStart w:id="3196" w:name="_Toc25177"/>
      <w:bookmarkStart w:id="3197" w:name="_Toc19682"/>
      <w:bookmarkStart w:id="3198" w:name="_Toc24270"/>
      <w:bookmarkStart w:id="3199" w:name="_Toc11571"/>
      <w:bookmarkStart w:id="3200" w:name="_Toc27443"/>
      <w:r>
        <w:rPr>
          <w:rFonts w:ascii="黑体" w:eastAsia="黑体" w:hAnsi="黑体" w:cs="黑体" w:hint="eastAsia"/>
          <w:color w:val="000000" w:themeColor="text1"/>
          <w:sz w:val="28"/>
          <w:szCs w:val="28"/>
        </w:rPr>
        <w:lastRenderedPageBreak/>
        <w:t>11.3网络与现代教育技术中心相关业务指引</w:t>
      </w:r>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新进教职工，在人事处办理相关手续后，由人事处在系统中审核，分配教工号及信息门户账号，其个人信息将自动进入数据中心，信息门户账号自动启用，无需到网络中心办理，新进教职工即可使用我校信息化相关业务。</w:t>
      </w:r>
    </w:p>
    <w:p w:rsidR="00E37845" w:rsidRDefault="00E22BDD">
      <w:pPr>
        <w:pStyle w:val="ListParagraph1"/>
        <w:widowControl/>
        <w:numPr>
          <w:ilvl w:val="255"/>
          <w:numId w:val="0"/>
        </w:numPr>
        <w:adjustRightInd w:val="0"/>
        <w:snapToGrid w:val="0"/>
        <w:spacing w:before="100" w:beforeAutospacing="1" w:line="360" w:lineRule="auto"/>
        <w:ind w:firstLine="482"/>
        <w:jc w:val="left"/>
        <w:rPr>
          <w:rFonts w:ascii="黑体" w:eastAsia="黑体" w:hAnsi="黑体" w:cs="黑体"/>
          <w:b/>
          <w:bCs/>
          <w:color w:val="000000" w:themeColor="text1"/>
        </w:rPr>
      </w:pPr>
      <w:r>
        <w:rPr>
          <w:rFonts w:ascii="黑体" w:eastAsia="黑体" w:hAnsi="黑体" w:cs="黑体" w:hint="eastAsia"/>
          <w:b/>
          <w:bCs/>
          <w:color w:val="000000" w:themeColor="text1"/>
        </w:rPr>
        <w:t>一、信息门户</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信息门户是信息查询及校内应用系统（如</w:t>
      </w:r>
      <w:r>
        <w:rPr>
          <w:rFonts w:ascii="仿宋_GB2312" w:eastAsia="仿宋_GB2312" w:hAnsi="仿宋_GB2312" w:cs="仿宋_GB2312"/>
          <w:color w:val="000000" w:themeColor="text1"/>
          <w:sz w:val="24"/>
          <w:szCs w:val="24"/>
        </w:rPr>
        <w:t>OA、教务、科研等）的入口，通过</w:t>
      </w:r>
      <w:r>
        <w:rPr>
          <w:rFonts w:ascii="Times New Roman" w:eastAsia="仿宋_GB2312" w:hAnsi="Times New Roman"/>
          <w:color w:val="000000" w:themeColor="text1"/>
          <w:sz w:val="24"/>
          <w:szCs w:val="24"/>
        </w:rPr>
        <w:t>http://my.gzhu.edu.cn</w:t>
      </w:r>
      <w:r>
        <w:rPr>
          <w:rFonts w:ascii="仿宋_GB2312" w:eastAsia="仿宋_GB2312" w:hAnsi="仿宋_GB2312" w:cs="仿宋_GB2312" w:hint="eastAsia"/>
          <w:color w:val="000000" w:themeColor="text1"/>
          <w:sz w:val="24"/>
          <w:szCs w:val="24"/>
        </w:rPr>
        <w:t>，或者学校主页</w:t>
      </w:r>
      <w:r>
        <w:rPr>
          <w:rFonts w:ascii="Times New Roman" w:eastAsia="仿宋_GB2312" w:hAnsi="Times New Roman"/>
          <w:color w:val="000000" w:themeColor="text1"/>
          <w:sz w:val="24"/>
          <w:szCs w:val="24"/>
        </w:rPr>
        <w:t>http://www.gzhu.edu.cn</w:t>
      </w:r>
      <w:r>
        <w:rPr>
          <w:rFonts w:ascii="仿宋_GB2312" w:eastAsia="仿宋_GB2312" w:hAnsi="仿宋_GB2312" w:cs="仿宋_GB2312" w:hint="eastAsia"/>
          <w:color w:val="000000" w:themeColor="text1"/>
          <w:sz w:val="24"/>
          <w:szCs w:val="24"/>
        </w:rPr>
        <w:t>的“数字广大”登录，登录界面如下：</w:t>
      </w:r>
    </w:p>
    <w:p w:rsidR="00E37845" w:rsidRDefault="00E22BDD">
      <w:pPr>
        <w:shd w:val="clear" w:color="auto" w:fill="FFFFFF"/>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noProof/>
          <w:color w:val="000000" w:themeColor="text1"/>
          <w:sz w:val="24"/>
          <w:szCs w:val="24"/>
        </w:rPr>
        <w:drawing>
          <wp:inline distT="0" distB="0" distL="0" distR="0">
            <wp:extent cx="5273675" cy="3594100"/>
            <wp:effectExtent l="0" t="0" r="3175" b="6350"/>
            <wp:docPr id="93" name="图片 93" descr="C:\Users\Administrator\AppData\Local\Temp\ksohtml\wps706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Users\Administrator\AppData\Local\Temp\ksohtml\wps7066.tmp.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273675" cy="3594100"/>
                    </a:xfrm>
                    <a:prstGeom prst="rect">
                      <a:avLst/>
                    </a:prstGeom>
                    <a:noFill/>
                    <a:ln>
                      <a:noFill/>
                    </a:ln>
                  </pic:spPr>
                </pic:pic>
              </a:graphicData>
            </a:graphic>
          </wp:inline>
        </w:drawing>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用户名即人事处分配的信息门户账号，初设密码为身份证号码后六位，请尽快修改初始密码。密码包括字母、括号等符号，字母区分大小写，符号区分中英文。</w:t>
      </w:r>
    </w:p>
    <w:p w:rsidR="00E37845" w:rsidRDefault="00E22BDD">
      <w:pPr>
        <w:pStyle w:val="ListParagraph1"/>
        <w:widowControl/>
        <w:numPr>
          <w:ilvl w:val="255"/>
          <w:numId w:val="0"/>
        </w:numPr>
        <w:adjustRightInd w:val="0"/>
        <w:snapToGrid w:val="0"/>
        <w:spacing w:before="100" w:beforeAutospacing="1" w:line="360" w:lineRule="auto"/>
        <w:ind w:firstLine="482"/>
        <w:jc w:val="left"/>
        <w:rPr>
          <w:rFonts w:ascii="黑体" w:eastAsia="黑体" w:hAnsi="黑体" w:cs="黑体"/>
          <w:b/>
          <w:bCs/>
          <w:color w:val="000000" w:themeColor="text1"/>
        </w:rPr>
      </w:pPr>
      <w:r>
        <w:rPr>
          <w:rFonts w:ascii="黑体" w:eastAsia="黑体" w:hAnsi="黑体" w:cs="黑体" w:hint="eastAsia"/>
          <w:b/>
          <w:bCs/>
          <w:color w:val="000000" w:themeColor="text1"/>
        </w:rPr>
        <w:t>二、学校域名邮箱申办流程</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广州大学电子邮箱是学校为师生和校内单位提供的免费电子邮箱。校园电子邮箱实行实名制管理。经开通后，师生或校内单位即成为校园电子邮箱用户。</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开通方法</w:t>
      </w:r>
      <w:r>
        <w:rPr>
          <w:rFonts w:ascii="仿宋_GB2312" w:eastAsia="仿宋_GB2312" w:hAnsi="仿宋_GB2312" w:cs="仿宋_GB2312"/>
          <w:color w:val="000000" w:themeColor="text1"/>
          <w:sz w:val="24"/>
          <w:szCs w:val="24"/>
        </w:rPr>
        <w:t xml:space="preserve">1）：用户登录统一信息门户后，在导航栏里点击“服务中心”→“网络中心”→ </w:t>
      </w:r>
      <w:r>
        <w:rPr>
          <w:rFonts w:ascii="仿宋_GB2312" w:eastAsia="仿宋_GB2312" w:hAnsi="仿宋_GB2312" w:cs="仿宋_GB2312" w:hint="eastAsia"/>
          <w:color w:val="000000" w:themeColor="text1"/>
          <w:sz w:val="24"/>
          <w:szCs w:val="24"/>
        </w:rPr>
        <w:t>“校内电子邮件申请”，在网上填好申请表点提交即可。</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开通方法</w:t>
      </w:r>
      <w:r>
        <w:rPr>
          <w:rFonts w:ascii="仿宋_GB2312" w:eastAsia="仿宋_GB2312" w:hAnsi="仿宋_GB2312" w:cs="仿宋_GB2312"/>
          <w:color w:val="000000" w:themeColor="text1"/>
          <w:sz w:val="24"/>
          <w:szCs w:val="24"/>
        </w:rPr>
        <w:t>2）：用户登录统一信息门户后，在门户的左下角“常用申请”中点击“更</w:t>
      </w:r>
      <w:r>
        <w:rPr>
          <w:rFonts w:ascii="仿宋_GB2312" w:eastAsia="仿宋_GB2312" w:hAnsi="仿宋_GB2312" w:cs="仿宋_GB2312"/>
          <w:color w:val="000000" w:themeColor="text1"/>
          <w:sz w:val="24"/>
          <w:szCs w:val="24"/>
        </w:rPr>
        <w:lastRenderedPageBreak/>
        <w:t>多”找到“申请邮箱”链接，下载“邮箱申请表”填好发邮件至</w:t>
      </w:r>
      <w:r>
        <w:rPr>
          <w:rFonts w:ascii="Times New Roman" w:eastAsia="仿宋_GB2312" w:hAnsi="Times New Roman"/>
          <w:color w:val="000000" w:themeColor="text1"/>
          <w:sz w:val="24"/>
          <w:szCs w:val="24"/>
        </w:rPr>
        <w:t>liaf0210@gzhu.edu.cn</w:t>
      </w:r>
      <w:r>
        <w:rPr>
          <w:rFonts w:ascii="仿宋_GB2312" w:eastAsia="仿宋_GB2312" w:hAnsi="仿宋_GB2312" w:cs="仿宋_GB2312" w:hint="eastAsia"/>
          <w:color w:val="000000" w:themeColor="text1"/>
          <w:sz w:val="24"/>
          <w:szCs w:val="24"/>
        </w:rPr>
        <w:t>或</w:t>
      </w:r>
      <w:r>
        <w:rPr>
          <w:rFonts w:ascii="仿宋_GB2312" w:eastAsia="仿宋_GB2312" w:hAnsi="仿宋_GB2312" w:cs="仿宋_GB2312"/>
          <w:color w:val="000000" w:themeColor="text1"/>
          <w:sz w:val="24"/>
          <w:szCs w:val="24"/>
        </w:rPr>
        <w:t>OA到实验中心、网络与现代教育技术中心的李爱凤老师。</w:t>
      </w:r>
    </w:p>
    <w:p w:rsidR="00E37845" w:rsidRDefault="00E22BDD">
      <w:pPr>
        <w:pStyle w:val="ListParagraph1"/>
        <w:widowControl/>
        <w:numPr>
          <w:ilvl w:val="255"/>
          <w:numId w:val="0"/>
        </w:numPr>
        <w:adjustRightInd w:val="0"/>
        <w:snapToGrid w:val="0"/>
        <w:spacing w:before="100" w:beforeAutospacing="1" w:line="360" w:lineRule="auto"/>
        <w:ind w:firstLine="482"/>
        <w:jc w:val="left"/>
        <w:rPr>
          <w:rFonts w:ascii="黑体" w:eastAsia="黑体" w:hAnsi="黑体" w:cs="黑体"/>
          <w:b/>
          <w:bCs/>
          <w:color w:val="000000" w:themeColor="text1"/>
        </w:rPr>
      </w:pPr>
      <w:r>
        <w:rPr>
          <w:rFonts w:ascii="黑体" w:eastAsia="黑体" w:hAnsi="黑体" w:cs="黑体" w:hint="eastAsia"/>
          <w:b/>
          <w:bCs/>
          <w:color w:val="000000" w:themeColor="text1"/>
        </w:rPr>
        <w:t>三、加入广州大学企业微信</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加入企业微信后，我校教职工可通过微信无障碍沟通、建立工作群组及接收系统或学校发送的通知提醒。目前，企业微信的活跃应用有：待办提醒、学校校历、周程会议、校内通知、网上服务中心、三会一课、人才引进管理等。自助加入方法如下：</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）成功登录信息门户后，扫描下方二维码</w:t>
      </w:r>
    </w:p>
    <w:p w:rsidR="00E37845" w:rsidRDefault="00E22BDD">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noProof/>
          <w:color w:val="000000" w:themeColor="text1"/>
          <w:sz w:val="24"/>
          <w:szCs w:val="24"/>
        </w:rPr>
        <w:drawing>
          <wp:inline distT="0" distB="0" distL="0" distR="0">
            <wp:extent cx="999490" cy="999490"/>
            <wp:effectExtent l="0" t="0" r="0" b="0"/>
            <wp:docPr id="92" name="图片 92" descr="C:\Users\Administrator\AppData\Local\Temp\ksohtml\wps706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Users\Administrator\AppData\Local\Temp\ksohtml\wps7067.tmp.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999490" cy="999490"/>
                    </a:xfrm>
                    <a:prstGeom prst="rect">
                      <a:avLst/>
                    </a:prstGeom>
                    <a:noFill/>
                    <a:ln>
                      <a:noFill/>
                    </a:ln>
                  </pic:spPr>
                </pic:pic>
              </a:graphicData>
            </a:graphic>
          </wp:inline>
        </w:drawing>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）打开【使用帮助】应用，在下方菜单“认证入口”中填写信息门户账号、密码、绑定微信的手机号码和常用电子邮箱，提交后即可。</w:t>
      </w:r>
    </w:p>
    <w:p w:rsidR="00E37845" w:rsidRDefault="00E22BDD">
      <w:pPr>
        <w:pStyle w:val="ListParagraph1"/>
        <w:widowControl/>
        <w:numPr>
          <w:ilvl w:val="255"/>
          <w:numId w:val="0"/>
        </w:numPr>
        <w:adjustRightInd w:val="0"/>
        <w:snapToGrid w:val="0"/>
        <w:spacing w:before="100" w:beforeAutospacing="1" w:line="360" w:lineRule="auto"/>
        <w:ind w:firstLine="482"/>
        <w:jc w:val="left"/>
        <w:rPr>
          <w:rFonts w:ascii="黑体" w:eastAsia="黑体" w:hAnsi="黑体" w:cs="黑体"/>
          <w:b/>
          <w:bCs/>
          <w:color w:val="000000" w:themeColor="text1"/>
        </w:rPr>
      </w:pPr>
      <w:r>
        <w:rPr>
          <w:rFonts w:ascii="黑体" w:eastAsia="黑体" w:hAnsi="黑体" w:cs="黑体" w:hint="eastAsia"/>
          <w:b/>
          <w:bCs/>
          <w:color w:val="000000" w:themeColor="text1"/>
        </w:rPr>
        <w:t>四、使用广州大学移动平台</w:t>
      </w:r>
    </w:p>
    <w:p w:rsidR="00E37845" w:rsidRDefault="00E22BDD">
      <w:pPr>
        <w:pStyle w:val="ad"/>
        <w:adjustRightInd w:val="0"/>
        <w:snapToGrid w:val="0"/>
        <w:spacing w:line="360" w:lineRule="auto"/>
        <w:ind w:firstLineChars="200" w:firstLine="48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移动校园</w:t>
      </w:r>
      <w:r>
        <w:rPr>
          <w:rFonts w:ascii="仿宋_GB2312" w:eastAsia="仿宋_GB2312" w:hAnsi="仿宋_GB2312" w:cs="仿宋_GB2312"/>
          <w:color w:val="000000" w:themeColor="text1"/>
        </w:rPr>
        <w:t>APP有基于iOS平台与安卓平台两个版本，我校教职工可以通过移动校园APP的个性化订阅，选择并排序服务。APP的特色功能有：对接学校消息中心平台，能方便接收到OA、教务、财务等重要的信息；具有"</w:t>
      </w:r>
      <w:r>
        <w:rPr>
          <w:rFonts w:ascii="仿宋_GB2312" w:eastAsia="仿宋_GB2312" w:hAnsi="仿宋_GB2312" w:cs="仿宋_GB2312" w:hint="eastAsia"/>
          <w:color w:val="000000" w:themeColor="text1"/>
        </w:rPr>
        <w:t>学校概况</w:t>
      </w:r>
      <w:r>
        <w:rPr>
          <w:rFonts w:ascii="仿宋_GB2312" w:eastAsia="仿宋_GB2312" w:hAnsi="仿宋_GB2312" w:cs="仿宋_GB2312"/>
          <w:color w:val="000000" w:themeColor="text1"/>
        </w:rPr>
        <w:t>"</w:t>
      </w:r>
      <w:r>
        <w:rPr>
          <w:rFonts w:ascii="仿宋_GB2312" w:eastAsia="仿宋_GB2312" w:hAnsi="仿宋_GB2312" w:cs="仿宋_GB2312" w:hint="eastAsia"/>
          <w:color w:val="000000" w:themeColor="text1"/>
        </w:rPr>
        <w:t>、</w:t>
      </w:r>
      <w:r>
        <w:rPr>
          <w:rFonts w:ascii="仿宋_GB2312" w:eastAsia="仿宋_GB2312" w:hAnsi="仿宋_GB2312" w:cs="仿宋_GB2312"/>
          <w:color w:val="000000" w:themeColor="text1"/>
        </w:rPr>
        <w:t>"</w:t>
      </w:r>
      <w:r>
        <w:rPr>
          <w:rFonts w:ascii="仿宋_GB2312" w:eastAsia="仿宋_GB2312" w:hAnsi="仿宋_GB2312" w:cs="仿宋_GB2312" w:hint="eastAsia"/>
          <w:color w:val="000000" w:themeColor="text1"/>
        </w:rPr>
        <w:t>校历</w:t>
      </w:r>
      <w:r>
        <w:rPr>
          <w:rFonts w:ascii="仿宋_GB2312" w:eastAsia="仿宋_GB2312" w:hAnsi="仿宋_GB2312" w:cs="仿宋_GB2312"/>
          <w:color w:val="000000" w:themeColor="text1"/>
        </w:rPr>
        <w:t>"</w:t>
      </w:r>
      <w:r>
        <w:rPr>
          <w:rFonts w:ascii="仿宋_GB2312" w:eastAsia="仿宋_GB2312" w:hAnsi="仿宋_GB2312" w:cs="仿宋_GB2312" w:hint="eastAsia"/>
          <w:color w:val="000000" w:themeColor="text1"/>
        </w:rPr>
        <w:t>、</w:t>
      </w:r>
      <w:r>
        <w:rPr>
          <w:rFonts w:ascii="仿宋_GB2312" w:eastAsia="仿宋_GB2312" w:hAnsi="仿宋_GB2312" w:cs="仿宋_GB2312"/>
          <w:color w:val="000000" w:themeColor="text1"/>
        </w:rPr>
        <w:t>"</w:t>
      </w:r>
      <w:r>
        <w:rPr>
          <w:rFonts w:ascii="仿宋_GB2312" w:eastAsia="仿宋_GB2312" w:hAnsi="仿宋_GB2312" w:cs="仿宋_GB2312" w:hint="eastAsia"/>
          <w:color w:val="000000" w:themeColor="text1"/>
        </w:rPr>
        <w:t>黄页</w:t>
      </w:r>
      <w:r>
        <w:rPr>
          <w:rFonts w:ascii="仿宋_GB2312" w:eastAsia="仿宋_GB2312" w:hAnsi="仿宋_GB2312" w:cs="仿宋_GB2312"/>
          <w:color w:val="000000" w:themeColor="text1"/>
        </w:rPr>
        <w:t>"</w:t>
      </w:r>
      <w:r>
        <w:rPr>
          <w:rFonts w:ascii="仿宋_GB2312" w:eastAsia="仿宋_GB2312" w:hAnsi="仿宋_GB2312" w:cs="仿宋_GB2312" w:hint="eastAsia"/>
          <w:color w:val="000000" w:themeColor="text1"/>
        </w:rPr>
        <w:t>、</w:t>
      </w:r>
      <w:r>
        <w:rPr>
          <w:rFonts w:ascii="仿宋_GB2312" w:eastAsia="仿宋_GB2312" w:hAnsi="仿宋_GB2312" w:cs="仿宋_GB2312"/>
          <w:color w:val="000000" w:themeColor="text1"/>
        </w:rPr>
        <w:t>"</w:t>
      </w:r>
      <w:r>
        <w:rPr>
          <w:rFonts w:ascii="仿宋_GB2312" w:eastAsia="仿宋_GB2312" w:hAnsi="仿宋_GB2312" w:cs="仿宋_GB2312" w:hint="eastAsia"/>
          <w:color w:val="000000" w:themeColor="text1"/>
        </w:rPr>
        <w:t>校车查询</w:t>
      </w:r>
      <w:r>
        <w:rPr>
          <w:rFonts w:ascii="仿宋_GB2312" w:eastAsia="仿宋_GB2312" w:hAnsi="仿宋_GB2312" w:cs="仿宋_GB2312"/>
          <w:color w:val="000000" w:themeColor="text1"/>
        </w:rPr>
        <w:t>"</w:t>
      </w:r>
      <w:r>
        <w:rPr>
          <w:rFonts w:ascii="仿宋_GB2312" w:eastAsia="仿宋_GB2312" w:hAnsi="仿宋_GB2312" w:cs="仿宋_GB2312" w:hint="eastAsia"/>
          <w:color w:val="000000" w:themeColor="text1"/>
        </w:rPr>
        <w:t>、</w:t>
      </w:r>
      <w:r>
        <w:rPr>
          <w:rFonts w:ascii="仿宋_GB2312" w:eastAsia="仿宋_GB2312" w:hAnsi="仿宋_GB2312" w:cs="仿宋_GB2312"/>
          <w:color w:val="000000" w:themeColor="text1"/>
        </w:rPr>
        <w:t>"</w:t>
      </w:r>
      <w:r>
        <w:rPr>
          <w:rFonts w:ascii="仿宋_GB2312" w:eastAsia="仿宋_GB2312" w:hAnsi="仿宋_GB2312" w:cs="仿宋_GB2312" w:hint="eastAsia"/>
          <w:color w:val="000000" w:themeColor="text1"/>
        </w:rPr>
        <w:t>教职工通讯录</w:t>
      </w:r>
      <w:r>
        <w:rPr>
          <w:rFonts w:ascii="仿宋_GB2312" w:eastAsia="仿宋_GB2312" w:hAnsi="仿宋_GB2312" w:cs="仿宋_GB2312"/>
          <w:color w:val="000000" w:themeColor="text1"/>
        </w:rPr>
        <w:t>"</w:t>
      </w:r>
      <w:r>
        <w:rPr>
          <w:rFonts w:ascii="仿宋_GB2312" w:eastAsia="仿宋_GB2312" w:hAnsi="仿宋_GB2312" w:cs="仿宋_GB2312" w:hint="eastAsia"/>
          <w:color w:val="000000" w:themeColor="text1"/>
        </w:rPr>
        <w:t>、’</w:t>
      </w:r>
      <w:r>
        <w:rPr>
          <w:rFonts w:ascii="仿宋_GB2312" w:eastAsia="仿宋_GB2312" w:hAnsi="仿宋_GB2312" w:cs="仿宋_GB2312"/>
          <w:color w:val="000000" w:themeColor="text1"/>
        </w:rPr>
        <w:t>"</w:t>
      </w:r>
      <w:r>
        <w:rPr>
          <w:rFonts w:ascii="仿宋_GB2312" w:eastAsia="仿宋_GB2312" w:hAnsi="仿宋_GB2312" w:cs="仿宋_GB2312" w:hint="eastAsia"/>
          <w:color w:val="000000" w:themeColor="text1"/>
        </w:rPr>
        <w:t>领导干部通讯录</w:t>
      </w:r>
      <w:r>
        <w:rPr>
          <w:rFonts w:ascii="仿宋_GB2312" w:eastAsia="仿宋_GB2312" w:hAnsi="仿宋_GB2312" w:cs="仿宋_GB2312"/>
          <w:color w:val="000000" w:themeColor="text1"/>
        </w:rPr>
        <w:t>"</w:t>
      </w:r>
      <w:r>
        <w:rPr>
          <w:rFonts w:ascii="仿宋_GB2312" w:eastAsia="仿宋_GB2312" w:hAnsi="仿宋_GB2312" w:cs="仿宋_GB2312" w:hint="eastAsia"/>
          <w:color w:val="000000" w:themeColor="text1"/>
        </w:rPr>
        <w:t>等便利信息查询服务；与</w:t>
      </w:r>
      <w:r>
        <w:rPr>
          <w:rFonts w:ascii="仿宋_GB2312" w:eastAsia="仿宋_GB2312" w:hAnsi="仿宋_GB2312" w:cs="仿宋_GB2312"/>
          <w:color w:val="000000" w:themeColor="text1"/>
        </w:rPr>
        <w:t>"</w:t>
      </w:r>
      <w:r>
        <w:rPr>
          <w:rFonts w:ascii="仿宋_GB2312" w:eastAsia="仿宋_GB2312" w:hAnsi="仿宋_GB2312" w:cs="仿宋_GB2312" w:hint="eastAsia"/>
          <w:color w:val="000000" w:themeColor="text1"/>
        </w:rPr>
        <w:t>慕课平台</w:t>
      </w:r>
      <w:r>
        <w:rPr>
          <w:rFonts w:ascii="仿宋_GB2312" w:eastAsia="仿宋_GB2312" w:hAnsi="仿宋_GB2312" w:cs="仿宋_GB2312"/>
          <w:color w:val="000000" w:themeColor="text1"/>
        </w:rPr>
        <w:t>"</w:t>
      </w:r>
      <w:r>
        <w:rPr>
          <w:rFonts w:ascii="仿宋_GB2312" w:eastAsia="仿宋_GB2312" w:hAnsi="仿宋_GB2312" w:cs="仿宋_GB2312" w:hint="eastAsia"/>
          <w:color w:val="000000" w:themeColor="text1"/>
        </w:rPr>
        <w:t>、</w:t>
      </w:r>
      <w:r>
        <w:rPr>
          <w:rFonts w:ascii="仿宋_GB2312" w:eastAsia="仿宋_GB2312" w:hAnsi="仿宋_GB2312" w:cs="仿宋_GB2312"/>
          <w:color w:val="000000" w:themeColor="text1"/>
        </w:rPr>
        <w:t>"</w:t>
      </w:r>
      <w:r>
        <w:rPr>
          <w:rFonts w:ascii="仿宋_GB2312" w:eastAsia="仿宋_GB2312" w:hAnsi="仿宋_GB2312" w:cs="仿宋_GB2312" w:hint="eastAsia"/>
          <w:color w:val="000000" w:themeColor="text1"/>
        </w:rPr>
        <w:t>易班平台</w:t>
      </w:r>
      <w:r>
        <w:rPr>
          <w:rFonts w:ascii="仿宋_GB2312" w:eastAsia="仿宋_GB2312" w:hAnsi="仿宋_GB2312" w:cs="仿宋_GB2312"/>
          <w:color w:val="000000" w:themeColor="text1"/>
        </w:rPr>
        <w:t>"</w:t>
      </w:r>
      <w:r>
        <w:rPr>
          <w:rFonts w:ascii="仿宋_GB2312" w:eastAsia="仿宋_GB2312" w:hAnsi="仿宋_GB2312" w:cs="仿宋_GB2312" w:hint="eastAsia"/>
          <w:color w:val="000000" w:themeColor="text1"/>
        </w:rPr>
        <w:t>对接单点登陆；意见反馈功能，用户可对功能、体验提出宝贵的意见。</w:t>
      </w:r>
    </w:p>
    <w:p w:rsidR="00E37845" w:rsidRDefault="00E22BDD">
      <w:pPr>
        <w:shd w:val="clear" w:color="auto" w:fill="FFFFFF"/>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br w:type="page"/>
      </w:r>
    </w:p>
    <w:p w:rsidR="00E37845" w:rsidRDefault="00E22BDD">
      <w:pPr>
        <w:shd w:val="clear" w:color="auto" w:fill="FFFFFF"/>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lastRenderedPageBreak/>
        <w:t>苹果用户请在</w:t>
      </w:r>
      <w:r>
        <w:rPr>
          <w:rFonts w:ascii="仿宋_GB2312" w:eastAsia="仿宋_GB2312" w:hAnsi="仿宋_GB2312" w:cs="仿宋_GB2312"/>
          <w:color w:val="000000" w:themeColor="text1"/>
          <w:sz w:val="24"/>
          <w:szCs w:val="24"/>
        </w:rPr>
        <w:t>iOS应用商店中搜索"</w:t>
      </w:r>
      <w:r>
        <w:rPr>
          <w:rFonts w:ascii="仿宋_GB2312" w:eastAsia="仿宋_GB2312" w:hAnsi="仿宋_GB2312" w:cs="仿宋_GB2312" w:hint="eastAsia"/>
          <w:color w:val="000000" w:themeColor="text1"/>
          <w:sz w:val="24"/>
          <w:szCs w:val="24"/>
        </w:rPr>
        <w:t>广州大学移动平台</w:t>
      </w:r>
      <w:r>
        <w:rPr>
          <w:rFonts w:ascii="仿宋_GB2312" w:eastAsia="仿宋_GB2312" w:hAnsi="仿宋_GB2312" w:cs="仿宋_GB2312"/>
          <w:color w:val="000000" w:themeColor="text1"/>
          <w:sz w:val="24"/>
          <w:szCs w:val="24"/>
        </w:rPr>
        <w:t>"</w:t>
      </w:r>
      <w:r>
        <w:rPr>
          <w:rFonts w:ascii="仿宋_GB2312" w:eastAsia="仿宋_GB2312" w:hAnsi="仿宋_GB2312" w:cs="仿宋_GB2312" w:hint="eastAsia"/>
          <w:color w:val="000000" w:themeColor="text1"/>
          <w:sz w:val="24"/>
          <w:szCs w:val="24"/>
        </w:rPr>
        <w:t>点击下载安装；</w:t>
      </w:r>
    </w:p>
    <w:p w:rsidR="00E37845" w:rsidRDefault="00E22BDD">
      <w:pPr>
        <w:shd w:val="clear" w:color="auto" w:fill="FFFFFF"/>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安卓用户请扫描下方二维码下载安装：</w:t>
      </w:r>
    </w:p>
    <w:p w:rsidR="00E37845" w:rsidRDefault="00E22BDD">
      <w:pPr>
        <w:shd w:val="clear" w:color="auto" w:fill="FFFFFF"/>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noProof/>
          <w:color w:val="000000" w:themeColor="text1"/>
          <w:sz w:val="24"/>
          <w:szCs w:val="24"/>
        </w:rPr>
        <w:drawing>
          <wp:inline distT="0" distB="0" distL="0" distR="0">
            <wp:extent cx="999490" cy="999490"/>
            <wp:effectExtent l="0" t="0" r="0" b="0"/>
            <wp:docPr id="91" name="图片 91" descr="C:\Users\Administrator\AppData\Local\Temp\ksohtml\wps7068.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C:\Users\Administrator\AppData\Local\Temp\ksohtml\wps7068.tmp.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99490" cy="999490"/>
                    </a:xfrm>
                    <a:prstGeom prst="rect">
                      <a:avLst/>
                    </a:prstGeom>
                    <a:noFill/>
                    <a:ln>
                      <a:noFill/>
                    </a:ln>
                  </pic:spPr>
                </pic:pic>
              </a:graphicData>
            </a:graphic>
          </wp:inline>
        </w:drawing>
      </w:r>
    </w:p>
    <w:p w:rsidR="00E37845" w:rsidRDefault="00E22BDD">
      <w:pPr>
        <w:pStyle w:val="ListParagraph1"/>
        <w:widowControl/>
        <w:numPr>
          <w:ilvl w:val="255"/>
          <w:numId w:val="0"/>
        </w:numPr>
        <w:adjustRightInd w:val="0"/>
        <w:snapToGrid w:val="0"/>
        <w:spacing w:before="100" w:beforeAutospacing="1" w:line="360" w:lineRule="auto"/>
        <w:ind w:firstLine="482"/>
        <w:jc w:val="left"/>
        <w:rPr>
          <w:rFonts w:ascii="黑体" w:eastAsia="黑体" w:hAnsi="黑体" w:cs="黑体"/>
          <w:b/>
          <w:bCs/>
          <w:color w:val="000000" w:themeColor="text1"/>
        </w:rPr>
      </w:pPr>
      <w:r>
        <w:rPr>
          <w:rFonts w:ascii="黑体" w:eastAsia="黑体" w:hAnsi="黑体" w:cs="黑体" w:hint="eastAsia"/>
          <w:b/>
          <w:bCs/>
          <w:color w:val="000000" w:themeColor="text1"/>
        </w:rPr>
        <w:t>五、使用广州大学移动办公系统</w:t>
      </w:r>
    </w:p>
    <w:p w:rsidR="00E37845" w:rsidRDefault="00E22BDD">
      <w:pPr>
        <w:pStyle w:val="ad"/>
        <w:adjustRightInd w:val="0"/>
        <w:snapToGrid w:val="0"/>
        <w:spacing w:line="360" w:lineRule="auto"/>
        <w:ind w:firstLineChars="200" w:firstLine="48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广大移动办公</w:t>
      </w:r>
      <w:r>
        <w:rPr>
          <w:rFonts w:ascii="仿宋_GB2312" w:eastAsia="仿宋_GB2312" w:hAnsi="仿宋_GB2312" w:cs="仿宋_GB2312"/>
          <w:color w:val="000000" w:themeColor="text1"/>
        </w:rPr>
        <w:t>APP是基于PC端的公文处理系统开发的手机端移动便捷公文处理系统，方便教职工外出时能够及时处理学校的各类公文，接收学校的工作类和活动类会议通知。APP有基于iOS平台与安卓平台两个版本，安装进行指引如下，安装过程若有疑问请拨打020-39366390-306找李老师。</w:t>
      </w:r>
    </w:p>
    <w:p w:rsidR="00E37845" w:rsidRDefault="00E22BDD">
      <w:pPr>
        <w:pStyle w:val="ad"/>
        <w:adjustRightInd w:val="0"/>
        <w:snapToGrid w:val="0"/>
        <w:spacing w:line="360" w:lineRule="auto"/>
        <w:ind w:firstLineChars="200" w:firstLine="48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安卓手机请扫描下方二维码进行安装：</w:t>
      </w:r>
    </w:p>
    <w:p w:rsidR="00E37845" w:rsidRDefault="00E22BDD">
      <w:pPr>
        <w:pStyle w:val="ad"/>
        <w:adjustRightInd w:val="0"/>
        <w:snapToGrid w:val="0"/>
        <w:spacing w:line="360" w:lineRule="auto"/>
        <w:ind w:firstLineChars="200" w:firstLine="480"/>
        <w:jc w:val="center"/>
        <w:rPr>
          <w:rFonts w:ascii="仿宋_GB2312" w:eastAsia="仿宋_GB2312" w:hAnsi="仿宋_GB2312" w:cs="仿宋_GB2312"/>
          <w:color w:val="000000" w:themeColor="text1"/>
        </w:rPr>
      </w:pPr>
      <w:r>
        <w:rPr>
          <w:rFonts w:ascii="仿宋_GB2312" w:eastAsia="仿宋_GB2312" w:hAnsi="仿宋_GB2312" w:cs="仿宋_GB2312"/>
          <w:noProof/>
          <w:color w:val="000000" w:themeColor="text1"/>
        </w:rPr>
        <w:drawing>
          <wp:inline distT="0" distB="0" distL="0" distR="0">
            <wp:extent cx="1095375" cy="1116330"/>
            <wp:effectExtent l="0" t="0" r="9525" b="7620"/>
            <wp:docPr id="90" name="图片 90" descr="C:\Users\Administrator\AppData\Local\Temp\ksohtml\wps706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Users\Administrator\AppData\Local\Temp\ksohtml\wps7069.tmp.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95375" cy="1116330"/>
                    </a:xfrm>
                    <a:prstGeom prst="rect">
                      <a:avLst/>
                    </a:prstGeom>
                    <a:noFill/>
                    <a:ln>
                      <a:noFill/>
                    </a:ln>
                  </pic:spPr>
                </pic:pic>
              </a:graphicData>
            </a:graphic>
          </wp:inline>
        </w:drawing>
      </w:r>
    </w:p>
    <w:p w:rsidR="00E37845" w:rsidRDefault="00E22BDD">
      <w:pPr>
        <w:pStyle w:val="ad"/>
        <w:adjustRightInd w:val="0"/>
        <w:snapToGrid w:val="0"/>
        <w:spacing w:line="360" w:lineRule="auto"/>
        <w:ind w:firstLineChars="200" w:firstLine="48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苹果手机请扫描下方二维码按照界面指引进行安装：</w:t>
      </w:r>
    </w:p>
    <w:p w:rsidR="00E37845" w:rsidRDefault="00E22BDD">
      <w:pPr>
        <w:pStyle w:val="ListParagraph1"/>
        <w:adjustRightInd w:val="0"/>
        <w:snapToGrid w:val="0"/>
        <w:spacing w:line="360" w:lineRule="auto"/>
        <w:ind w:firstLine="480"/>
        <w:jc w:val="center"/>
        <w:rPr>
          <w:rFonts w:ascii="仿宋_GB2312" w:eastAsia="仿宋_GB2312" w:hAnsi="仿宋_GB2312" w:cs="仿宋_GB2312"/>
          <w:color w:val="000000" w:themeColor="text1"/>
        </w:rPr>
      </w:pPr>
      <w:r>
        <w:rPr>
          <w:rFonts w:ascii="仿宋_GB2312" w:eastAsia="仿宋_GB2312" w:hAnsi="仿宋_GB2312" w:cs="仿宋_GB2312"/>
          <w:noProof/>
          <w:color w:val="000000" w:themeColor="text1"/>
        </w:rPr>
        <w:drawing>
          <wp:inline distT="0" distB="0" distL="0" distR="0">
            <wp:extent cx="1062990" cy="1084580"/>
            <wp:effectExtent l="0" t="0" r="3810" b="1270"/>
            <wp:docPr id="89" name="图片 89" descr="C:\Users\Administrator\AppData\Local\Temp\ksohtml\wps706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C:\Users\Administrator\AppData\Local\Temp\ksohtml\wps706A.tmp.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62990" cy="1084580"/>
                    </a:xfrm>
                    <a:prstGeom prst="rect">
                      <a:avLst/>
                    </a:prstGeom>
                    <a:noFill/>
                    <a:ln>
                      <a:noFill/>
                    </a:ln>
                  </pic:spPr>
                </pic:pic>
              </a:graphicData>
            </a:graphic>
          </wp:inline>
        </w:drawing>
      </w:r>
    </w:p>
    <w:p w:rsidR="00E37845" w:rsidRDefault="00E22BDD">
      <w:pPr>
        <w:pStyle w:val="ListParagraph1"/>
        <w:widowControl/>
        <w:numPr>
          <w:ilvl w:val="255"/>
          <w:numId w:val="0"/>
        </w:numPr>
        <w:adjustRightInd w:val="0"/>
        <w:snapToGrid w:val="0"/>
        <w:spacing w:before="100" w:beforeAutospacing="1" w:line="360" w:lineRule="auto"/>
        <w:ind w:firstLine="482"/>
        <w:jc w:val="left"/>
        <w:rPr>
          <w:rFonts w:ascii="黑体" w:eastAsia="黑体" w:hAnsi="黑体" w:cs="黑体"/>
          <w:b/>
          <w:bCs/>
          <w:color w:val="000000" w:themeColor="text1"/>
        </w:rPr>
      </w:pPr>
      <w:r>
        <w:rPr>
          <w:rFonts w:ascii="黑体" w:eastAsia="黑体" w:hAnsi="黑体" w:cs="黑体" w:hint="eastAsia"/>
          <w:b/>
          <w:bCs/>
          <w:color w:val="000000" w:themeColor="text1"/>
        </w:rPr>
        <w:t>六、校园网无线上网用户使用指南</w:t>
      </w:r>
    </w:p>
    <w:p w:rsidR="00E37845" w:rsidRDefault="00E22BDD">
      <w:pPr>
        <w:pStyle w:val="ListParagraph1"/>
        <w:numPr>
          <w:ilvl w:val="255"/>
          <w:numId w:val="0"/>
        </w:numPr>
        <w:adjustRightInd w:val="0"/>
        <w:snapToGrid w:val="0"/>
        <w:spacing w:after="200" w:line="360" w:lineRule="auto"/>
        <w:ind w:firstLineChars="200" w:firstLine="482"/>
        <w:rPr>
          <w:rFonts w:ascii="楷体_GB2312" w:eastAsia="楷体_GB2312" w:hAnsi="楷体_GB2312" w:cs="楷体_GB2312"/>
          <w:b/>
          <w:bCs/>
          <w:color w:val="000000" w:themeColor="text1"/>
        </w:rPr>
      </w:pPr>
      <w:r>
        <w:rPr>
          <w:rFonts w:ascii="楷体_GB2312" w:eastAsia="楷体_GB2312" w:hAnsi="楷体_GB2312" w:cs="楷体_GB2312" w:hint="eastAsia"/>
          <w:b/>
          <w:bCs/>
          <w:color w:val="000000" w:themeColor="text1"/>
        </w:rPr>
        <w:t>（一）搜索无线网络</w:t>
      </w:r>
    </w:p>
    <w:p w:rsidR="00E37845" w:rsidRDefault="00E22BDD">
      <w:pPr>
        <w:pStyle w:val="ad"/>
        <w:adjustRightInd w:val="0"/>
        <w:snapToGrid w:val="0"/>
        <w:spacing w:line="360" w:lineRule="auto"/>
        <w:ind w:firstLineChars="200" w:firstLine="480"/>
        <w:rPr>
          <w:rFonts w:ascii="仿宋_GB2312" w:eastAsia="仿宋_GB2312" w:hAnsi="仿宋_GB2312" w:cs="仿宋_GB2312"/>
          <w:color w:val="000000" w:themeColor="text1"/>
        </w:rPr>
      </w:pPr>
      <w:r>
        <w:rPr>
          <w:rFonts w:ascii="仿宋_GB2312" w:eastAsia="仿宋_GB2312" w:hAnsi="仿宋_GB2312" w:cs="仿宋_GB2312"/>
          <w:color w:val="000000" w:themeColor="text1"/>
        </w:rPr>
        <w:t>将手机、手提电脑或者其他支持无线设备打开无线网络，搜索无线网络，发现GZHU，即为校园无线网络（其他无线网络非我校官方无线网络，</w:t>
      </w:r>
      <w:r>
        <w:rPr>
          <w:rFonts w:ascii="仿宋_GB2312" w:eastAsia="仿宋_GB2312" w:hAnsi="仿宋_GB2312" w:cs="仿宋_GB2312" w:hint="eastAsia"/>
          <w:color w:val="000000" w:themeColor="text1"/>
        </w:rPr>
        <w:t>慎重连接或者不要连接）。</w:t>
      </w:r>
    </w:p>
    <w:p w:rsidR="00E37845" w:rsidRDefault="00E22BDD">
      <w:pPr>
        <w:pStyle w:val="ListParagraph1"/>
        <w:numPr>
          <w:ilvl w:val="255"/>
          <w:numId w:val="0"/>
        </w:numPr>
        <w:adjustRightInd w:val="0"/>
        <w:snapToGrid w:val="0"/>
        <w:spacing w:after="200" w:line="360" w:lineRule="auto"/>
        <w:ind w:firstLineChars="200" w:firstLine="482"/>
        <w:rPr>
          <w:rFonts w:ascii="楷体_GB2312" w:eastAsia="楷体_GB2312" w:hAnsi="楷体_GB2312" w:cs="楷体_GB2312"/>
          <w:b/>
          <w:bCs/>
          <w:color w:val="000000" w:themeColor="text1"/>
        </w:rPr>
      </w:pPr>
      <w:r>
        <w:rPr>
          <w:rFonts w:ascii="楷体_GB2312" w:eastAsia="楷体_GB2312" w:hAnsi="楷体_GB2312" w:cs="楷体_GB2312" w:hint="eastAsia"/>
          <w:b/>
          <w:bCs/>
          <w:color w:val="000000" w:themeColor="text1"/>
        </w:rPr>
        <w:lastRenderedPageBreak/>
        <w:t>（二）连接无线网络</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1.在无线网络连接菜单里会显示当前电脑搜索到的无线网络</w:t>
      </w:r>
      <w:r>
        <w:rPr>
          <w:rFonts w:ascii="仿宋_GB2312" w:eastAsia="仿宋_GB2312" w:hAnsi="仿宋_GB2312" w:cs="仿宋_GB2312"/>
          <w:color w:val="000000" w:themeColor="text1"/>
          <w:sz w:val="24"/>
          <w:szCs w:val="24"/>
        </w:rPr>
        <w:t>GZHU，如果没有单击窗口右上角的</w:t>
      </w:r>
      <w:r>
        <w:rPr>
          <w:rFonts w:ascii="仿宋_GB2312" w:eastAsia="仿宋_GB2312" w:hAnsi="仿宋_GB2312" w:cs="仿宋_GB2312"/>
          <w:noProof/>
          <w:color w:val="000000" w:themeColor="text1"/>
          <w:sz w:val="24"/>
          <w:szCs w:val="24"/>
        </w:rPr>
        <w:drawing>
          <wp:inline distT="0" distB="0" distL="0" distR="0">
            <wp:extent cx="946150" cy="233680"/>
            <wp:effectExtent l="0" t="0" r="6350" b="0"/>
            <wp:docPr id="88" name="图片 88" descr="C:\Users\Administrator\AppData\Local\Temp\ksohtml\wps706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Administrator\AppData\Local\Temp\ksohtml\wps706B.tmp.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46150" cy="233680"/>
                    </a:xfrm>
                    <a:prstGeom prst="rect">
                      <a:avLst/>
                    </a:prstGeom>
                    <a:noFill/>
                    <a:ln>
                      <a:noFill/>
                    </a:ln>
                  </pic:spPr>
                </pic:pic>
              </a:graphicData>
            </a:graphic>
          </wp:inline>
        </w:drawing>
      </w:r>
      <w:r>
        <w:rPr>
          <w:rFonts w:ascii="仿宋_GB2312" w:eastAsia="仿宋_GB2312" w:hAnsi="仿宋_GB2312" w:cs="仿宋_GB2312" w:hint="eastAsia"/>
          <w:color w:val="000000" w:themeColor="text1"/>
          <w:sz w:val="24"/>
          <w:szCs w:val="24"/>
        </w:rPr>
        <w:t>；</w:t>
      </w:r>
    </w:p>
    <w:p w:rsidR="00E37845" w:rsidRDefault="00E22BDD">
      <w:pPr>
        <w:pStyle w:val="ListParagraph1"/>
        <w:adjustRightInd w:val="0"/>
        <w:snapToGrid w:val="0"/>
        <w:spacing w:line="360" w:lineRule="auto"/>
        <w:ind w:firstLine="480"/>
        <w:jc w:val="center"/>
        <w:rPr>
          <w:rFonts w:ascii="仿宋_GB2312" w:eastAsia="仿宋_GB2312" w:hAnsi="仿宋_GB2312" w:cs="仿宋_GB2312"/>
          <w:color w:val="000000" w:themeColor="text1"/>
        </w:rPr>
      </w:pPr>
      <w:r>
        <w:rPr>
          <w:rFonts w:ascii="仿宋_GB2312" w:eastAsia="仿宋_GB2312" w:hAnsi="仿宋_GB2312" w:cs="仿宋_GB2312"/>
          <w:noProof/>
          <w:color w:val="000000" w:themeColor="text1"/>
        </w:rPr>
        <w:drawing>
          <wp:inline distT="0" distB="0" distL="0" distR="0">
            <wp:extent cx="2339340" cy="3296285"/>
            <wp:effectExtent l="0" t="0" r="3810" b="0"/>
            <wp:docPr id="87" name="图片 87" descr="C:\Users\Administrator\AppData\Local\Temp\ksohtml\wps706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C:\Users\Administrator\AppData\Local\Temp\ksohtml\wps706C.tmp.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339340" cy="3296285"/>
                    </a:xfrm>
                    <a:prstGeom prst="rect">
                      <a:avLst/>
                    </a:prstGeom>
                    <a:noFill/>
                    <a:ln>
                      <a:noFill/>
                    </a:ln>
                  </pic:spPr>
                </pic:pic>
              </a:graphicData>
            </a:graphic>
          </wp:inline>
        </w:drawing>
      </w:r>
    </w:p>
    <w:p w:rsidR="00E37845" w:rsidRDefault="00E22BDD">
      <w:pPr>
        <w:pStyle w:val="ad"/>
        <w:adjustRightInd w:val="0"/>
        <w:snapToGrid w:val="0"/>
        <w:spacing w:line="360" w:lineRule="auto"/>
        <w:ind w:firstLineChars="200" w:firstLine="48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2.按图上所示，选好一个无线网络单击窗口右下角的“连接”；</w:t>
      </w:r>
    </w:p>
    <w:p w:rsidR="00E37845" w:rsidRDefault="00E22BDD">
      <w:pPr>
        <w:pStyle w:val="ad"/>
        <w:adjustRightInd w:val="0"/>
        <w:snapToGrid w:val="0"/>
        <w:spacing w:line="360" w:lineRule="auto"/>
        <w:ind w:firstLineChars="200" w:firstLine="48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3.成功连接后会显示“已连接”。</w:t>
      </w:r>
    </w:p>
    <w:p w:rsidR="00E37845" w:rsidRDefault="00E22BDD">
      <w:pPr>
        <w:pStyle w:val="ListParagraph1"/>
        <w:numPr>
          <w:ilvl w:val="255"/>
          <w:numId w:val="0"/>
        </w:numPr>
        <w:adjustRightInd w:val="0"/>
        <w:snapToGrid w:val="0"/>
        <w:spacing w:after="200" w:line="360" w:lineRule="auto"/>
        <w:ind w:firstLineChars="200" w:firstLine="482"/>
        <w:rPr>
          <w:rFonts w:ascii="楷体_GB2312" w:eastAsia="楷体_GB2312" w:hAnsi="楷体_GB2312" w:cs="楷体_GB2312"/>
          <w:b/>
          <w:bCs/>
          <w:color w:val="000000" w:themeColor="text1"/>
        </w:rPr>
      </w:pPr>
      <w:r>
        <w:rPr>
          <w:rFonts w:ascii="楷体_GB2312" w:eastAsia="楷体_GB2312" w:hAnsi="楷体_GB2312" w:cs="楷体_GB2312" w:hint="eastAsia"/>
          <w:b/>
          <w:bCs/>
          <w:color w:val="000000" w:themeColor="text1"/>
        </w:rPr>
        <w:t>（三）身份验证</w:t>
      </w:r>
    </w:p>
    <w:p w:rsidR="00E37845" w:rsidRDefault="00E22BDD">
      <w:pPr>
        <w:pStyle w:val="ad"/>
        <w:adjustRightInd w:val="0"/>
        <w:snapToGrid w:val="0"/>
        <w:spacing w:line="360" w:lineRule="auto"/>
        <w:ind w:firstLineChars="200" w:firstLine="48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1.连接上之后打开您的浏览器软件（苹果手机浏览器为</w:t>
      </w:r>
      <w:r>
        <w:rPr>
          <w:rFonts w:ascii="仿宋_GB2312" w:eastAsia="仿宋_GB2312" w:hAnsi="仿宋_GB2312" w:cs="仿宋_GB2312"/>
          <w:color w:val="000000" w:themeColor="text1"/>
        </w:rPr>
        <w:t>Safari，或者IE）访问某网站将会自动跳转到验证页面，在认证页面里输入用户名和密码再单击登录，登录成功后即可访问网络。</w:t>
      </w:r>
    </w:p>
    <w:p w:rsidR="00E37845" w:rsidRDefault="00E22BDD">
      <w:pPr>
        <w:pStyle w:val="ad"/>
        <w:adjustRightInd w:val="0"/>
        <w:snapToGrid w:val="0"/>
        <w:spacing w:line="360" w:lineRule="auto"/>
        <w:ind w:firstLineChars="200" w:firstLine="48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备注：教工用户默认用户名：教工</w:t>
      </w:r>
      <w:r>
        <w:rPr>
          <w:rFonts w:ascii="仿宋_GB2312" w:eastAsia="仿宋_GB2312" w:hAnsi="仿宋_GB2312" w:cs="仿宋_GB2312"/>
          <w:color w:val="000000" w:themeColor="text1"/>
        </w:rPr>
        <w:t>OA账号；默认密码：同用户名一样。</w:t>
      </w:r>
    </w:p>
    <w:p w:rsidR="00E37845" w:rsidRDefault="00E22BDD">
      <w:pPr>
        <w:pStyle w:val="ad"/>
        <w:adjustRightInd w:val="0"/>
        <w:snapToGrid w:val="0"/>
        <w:spacing w:line="360" w:lineRule="auto"/>
        <w:ind w:firstLineChars="200" w:firstLine="480"/>
        <w:jc w:val="center"/>
        <w:rPr>
          <w:rFonts w:ascii="仿宋_GB2312" w:eastAsia="仿宋_GB2312" w:hAnsi="仿宋_GB2312" w:cs="仿宋_GB2312"/>
          <w:color w:val="000000" w:themeColor="text1"/>
        </w:rPr>
      </w:pPr>
      <w:r>
        <w:rPr>
          <w:rFonts w:ascii="仿宋_GB2312" w:eastAsia="仿宋_GB2312" w:hAnsi="仿宋_GB2312" w:cs="仿宋_GB2312"/>
          <w:noProof/>
          <w:color w:val="000000" w:themeColor="text1"/>
        </w:rPr>
        <w:lastRenderedPageBreak/>
        <w:drawing>
          <wp:inline distT="0" distB="0" distL="0" distR="0">
            <wp:extent cx="1892300" cy="3094355"/>
            <wp:effectExtent l="0" t="0" r="12700" b="10795"/>
            <wp:docPr id="19" name="图片 19" descr="C:\Users\Administrator\AppData\Local\Temp\ksohtml\wps706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AppData\Local\Temp\ksohtml\wps706D.tmp.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892300" cy="3094355"/>
                    </a:xfrm>
                    <a:prstGeom prst="rect">
                      <a:avLst/>
                    </a:prstGeom>
                    <a:noFill/>
                    <a:ln>
                      <a:noFill/>
                    </a:ln>
                  </pic:spPr>
                </pic:pic>
              </a:graphicData>
            </a:graphic>
          </wp:inline>
        </w:drawing>
      </w:r>
      <w:r>
        <w:rPr>
          <w:rFonts w:ascii="仿宋_GB2312" w:eastAsia="仿宋_GB2312" w:hAnsi="仿宋_GB2312" w:cs="仿宋_GB2312"/>
          <w:noProof/>
          <w:color w:val="000000" w:themeColor="text1"/>
        </w:rPr>
        <w:drawing>
          <wp:inline distT="0" distB="0" distL="0" distR="0">
            <wp:extent cx="2041525" cy="3104515"/>
            <wp:effectExtent l="0" t="0" r="0" b="635"/>
            <wp:docPr id="85" name="图片 85" descr="C:\Users\Administrator\AppData\Local\Temp\ksohtml\wps706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C:\Users\Administrator\AppData\Local\Temp\ksohtml\wps706E.tmp.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041525" cy="3104515"/>
                    </a:xfrm>
                    <a:prstGeom prst="rect">
                      <a:avLst/>
                    </a:prstGeom>
                    <a:noFill/>
                    <a:ln>
                      <a:noFill/>
                    </a:ln>
                  </pic:spPr>
                </pic:pic>
              </a:graphicData>
            </a:graphic>
          </wp:inline>
        </w:drawing>
      </w:r>
    </w:p>
    <w:p w:rsidR="00E37845" w:rsidRDefault="00E22BDD">
      <w:pPr>
        <w:pStyle w:val="ad"/>
        <w:adjustRightInd w:val="0"/>
        <w:snapToGrid w:val="0"/>
        <w:spacing w:line="360" w:lineRule="auto"/>
        <w:ind w:firstLineChars="200" w:firstLine="48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2.当你准备退出无线网络的时候直接关闭无线网络连接，认证账号就会自动下线。</w:t>
      </w:r>
    </w:p>
    <w:p w:rsidR="00E37845" w:rsidRDefault="00E22BDD">
      <w:pPr>
        <w:pStyle w:val="ad"/>
        <w:adjustRightInd w:val="0"/>
        <w:snapToGrid w:val="0"/>
        <w:spacing w:line="360" w:lineRule="auto"/>
        <w:ind w:firstLineChars="200" w:firstLine="48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备注：认证登录界面左下角“公告栏”点击进去可以自助修改密码。</w:t>
      </w:r>
    </w:p>
    <w:p w:rsidR="00E37845" w:rsidRDefault="00E22BDD">
      <w:pPr>
        <w:pStyle w:val="ad"/>
        <w:adjustRightInd w:val="0"/>
        <w:snapToGrid w:val="0"/>
        <w:spacing w:line="360" w:lineRule="auto"/>
        <w:ind w:firstLineChars="200" w:firstLine="48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无线网络认证已在后台默认开启无感认证，用户只需认证登录</w:t>
      </w:r>
      <w:r>
        <w:rPr>
          <w:rFonts w:ascii="仿宋_GB2312" w:eastAsia="仿宋_GB2312" w:hAnsi="仿宋_GB2312" w:cs="仿宋_GB2312"/>
          <w:color w:val="000000" w:themeColor="text1"/>
        </w:rPr>
        <w:t>1次后，每次直接连接无线网络GZHU即可使用无线网络。</w:t>
      </w:r>
    </w:p>
    <w:p w:rsidR="00E37845" w:rsidRDefault="00E22BDD">
      <w:pPr>
        <w:pStyle w:val="ad"/>
        <w:adjustRightInd w:val="0"/>
        <w:snapToGrid w:val="0"/>
        <w:spacing w:line="360" w:lineRule="auto"/>
        <w:ind w:firstLineChars="200" w:firstLine="48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（四</w:t>
      </w:r>
      <w:r>
        <w:rPr>
          <w:rFonts w:ascii="仿宋_GB2312" w:eastAsia="仿宋_GB2312" w:hAnsi="仿宋_GB2312" w:cs="仿宋_GB2312"/>
          <w:color w:val="000000" w:themeColor="text1"/>
        </w:rPr>
        <w:t>）如在使用校园无线网络GZHU时遇到任何问题或有任何建议，欢迎向网络与现代教育技术中心用户服务部提出，联系电话：39366372。</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3201" w:name="_Toc6136"/>
      <w:bookmarkStart w:id="3202" w:name="_Toc29968"/>
      <w:bookmarkStart w:id="3203" w:name="_Toc3005"/>
      <w:bookmarkStart w:id="3204" w:name="_Toc23035"/>
      <w:bookmarkStart w:id="3205" w:name="_Toc12078"/>
      <w:bookmarkStart w:id="3206" w:name="_Toc519781057"/>
      <w:bookmarkStart w:id="3207" w:name="_Toc25048"/>
      <w:bookmarkStart w:id="3208" w:name="_Toc32117"/>
      <w:bookmarkStart w:id="3209" w:name="_Toc12748"/>
      <w:bookmarkStart w:id="3210" w:name="_Toc24854"/>
      <w:bookmarkStart w:id="3211" w:name="_Toc18"/>
      <w:bookmarkStart w:id="3212" w:name="_Toc30084"/>
      <w:bookmarkStart w:id="3213" w:name="_Toc13999"/>
      <w:bookmarkStart w:id="3214" w:name="_Toc25491"/>
      <w:bookmarkStart w:id="3215" w:name="_Toc6679"/>
      <w:bookmarkStart w:id="3216" w:name="_Toc18146"/>
      <w:bookmarkStart w:id="3217" w:name="_Toc19076"/>
      <w:bookmarkStart w:id="3218" w:name="_Toc20088"/>
      <w:bookmarkStart w:id="3219" w:name="_Toc27896"/>
      <w:bookmarkStart w:id="3220" w:name="_Toc12587"/>
      <w:bookmarkStart w:id="3221" w:name="_Toc14590"/>
      <w:bookmarkStart w:id="3222" w:name="_Toc18941"/>
      <w:bookmarkStart w:id="3223" w:name="_Toc21841"/>
      <w:bookmarkStart w:id="3224" w:name="_Toc2427"/>
      <w:bookmarkStart w:id="3225" w:name="_Toc30205"/>
      <w:bookmarkStart w:id="3226" w:name="_Toc26157"/>
      <w:bookmarkStart w:id="3227" w:name="_Toc18918"/>
      <w:bookmarkStart w:id="3228" w:name="_Toc20443"/>
      <w:bookmarkStart w:id="3229" w:name="_Toc881"/>
      <w:bookmarkStart w:id="3230" w:name="_Toc2818"/>
      <w:r>
        <w:rPr>
          <w:rFonts w:ascii="黑体" w:eastAsia="黑体" w:hAnsi="黑体" w:cs="黑体" w:hint="eastAsia"/>
          <w:color w:val="000000" w:themeColor="text1"/>
          <w:sz w:val="28"/>
          <w:szCs w:val="28"/>
        </w:rPr>
        <w:t>11.4后勤服务</w:t>
      </w:r>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3231" w:name="_Toc24295"/>
      <w:bookmarkStart w:id="3232" w:name="_Toc26993"/>
      <w:bookmarkStart w:id="3233" w:name="_Toc14908"/>
      <w:bookmarkStart w:id="3234" w:name="_Toc29655"/>
      <w:bookmarkStart w:id="3235" w:name="_Toc26543"/>
      <w:bookmarkStart w:id="3236" w:name="_Toc31502"/>
      <w:bookmarkStart w:id="3237" w:name="_Toc2744"/>
      <w:bookmarkStart w:id="3238" w:name="_Toc29212"/>
      <w:bookmarkStart w:id="3239" w:name="_Toc30892"/>
      <w:bookmarkStart w:id="3240" w:name="_Toc6503"/>
      <w:bookmarkStart w:id="3241" w:name="_Toc3253"/>
      <w:bookmarkStart w:id="3242" w:name="_Toc1776"/>
      <w:bookmarkStart w:id="3243" w:name="_Toc355"/>
      <w:bookmarkStart w:id="3244" w:name="_Toc24989"/>
      <w:bookmarkStart w:id="3245" w:name="_Toc9013"/>
      <w:bookmarkStart w:id="3246" w:name="_Toc15829"/>
      <w:bookmarkStart w:id="3247" w:name="_Toc25975"/>
      <w:bookmarkStart w:id="3248" w:name="_Toc18328"/>
      <w:bookmarkStart w:id="3249" w:name="_Toc31237"/>
      <w:bookmarkStart w:id="3250" w:name="_Toc519781058"/>
      <w:bookmarkStart w:id="3251" w:name="_Toc20082"/>
      <w:bookmarkStart w:id="3252" w:name="_Toc18709"/>
      <w:bookmarkStart w:id="3253" w:name="_Toc19071"/>
      <w:bookmarkStart w:id="3254" w:name="_Toc28127"/>
      <w:bookmarkStart w:id="3255" w:name="_Toc29626"/>
      <w:bookmarkStart w:id="3256" w:name="_Toc4180"/>
      <w:bookmarkStart w:id="3257" w:name="_Toc30937"/>
      <w:bookmarkStart w:id="3258" w:name="_Toc20146"/>
      <w:bookmarkStart w:id="3259" w:name="_Toc15842"/>
      <w:bookmarkStart w:id="3260" w:name="_Toc30065"/>
      <w:r>
        <w:rPr>
          <w:rFonts w:ascii="黑体" w:eastAsia="黑体" w:hAnsi="黑体" w:cs="黑体" w:hint="eastAsia"/>
          <w:color w:val="000000" w:themeColor="text1"/>
          <w:sz w:val="28"/>
          <w:szCs w:val="28"/>
        </w:rPr>
        <w:t>11.4.1教职工周转房安排</w:t>
      </w:r>
      <w:bookmarkEnd w:id="3231"/>
      <w:r>
        <w:rPr>
          <w:rFonts w:ascii="黑体" w:eastAsia="黑体" w:hAnsi="黑体" w:cs="黑体" w:hint="eastAsia"/>
          <w:color w:val="000000" w:themeColor="text1"/>
          <w:sz w:val="28"/>
          <w:szCs w:val="28"/>
        </w:rPr>
        <w:t>程序</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p>
    <w:p w:rsidR="00E37845" w:rsidRDefault="00E22BDD">
      <w:pPr>
        <w:numPr>
          <w:ilvl w:val="255"/>
          <w:numId w:val="0"/>
        </w:num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凡申请租房（含续租）者，应提交本人及配偶取得《个人名下房地产登记情况查询证明》《家庭成员名下房产情况证明》（原件），并如实填写《广州大学周转房租用申请登记表》、《配偶住房情况调查表》，相关资料由房管部门汇总审批。如经调查属弄虚作假者，则对该申请人下调一个档次安排或不予安排。</w:t>
      </w:r>
    </w:p>
    <w:p w:rsidR="00E37845" w:rsidRDefault="00E22BDD">
      <w:pPr>
        <w:numPr>
          <w:ilvl w:val="255"/>
          <w:numId w:val="0"/>
        </w:numPr>
        <w:adjustRightInd w:val="0"/>
        <w:snapToGrid w:val="0"/>
        <w:spacing w:line="360" w:lineRule="auto"/>
        <w:ind w:leftChars="200" w:left="42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二、大批量周转房安排，按以下程序操作：</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）由学校房管部门审核每位申请人的租房资格，对取得资格的申请人进行排序。</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校园网上公布。由房管部门排序、审核后，报领导小组审批并校园网上公布</w:t>
      </w:r>
      <w:r>
        <w:rPr>
          <w:rFonts w:ascii="仿宋_GB2312" w:eastAsia="仿宋_GB2312" w:hAnsi="仿宋_GB2312" w:cs="仿宋_GB2312"/>
          <w:color w:val="000000" w:themeColor="text1"/>
          <w:sz w:val="24"/>
          <w:szCs w:val="24"/>
        </w:rPr>
        <w:lastRenderedPageBreak/>
        <w:t>正式安排名单。</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）选择住房。正式安排名单公布后，由学校房管部门主持选房，申请人按顺序依次自行选房，最后由学校房管部门根据安排结果签发周转房租用通知书。</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3261" w:name="_Toc4635"/>
      <w:bookmarkStart w:id="3262" w:name="_Toc12472"/>
      <w:bookmarkStart w:id="3263" w:name="_Toc519781059"/>
      <w:bookmarkStart w:id="3264" w:name="_Toc15107"/>
      <w:bookmarkStart w:id="3265" w:name="_Toc10982"/>
      <w:bookmarkStart w:id="3266" w:name="_Toc16378"/>
      <w:bookmarkStart w:id="3267" w:name="_Toc6018"/>
      <w:bookmarkStart w:id="3268" w:name="_Toc4851"/>
      <w:bookmarkStart w:id="3269" w:name="_Toc8378"/>
      <w:bookmarkStart w:id="3270" w:name="_Toc10570"/>
      <w:bookmarkStart w:id="3271" w:name="_Toc2278"/>
      <w:bookmarkStart w:id="3272" w:name="_Toc9103"/>
      <w:bookmarkStart w:id="3273" w:name="_Toc4498"/>
      <w:bookmarkStart w:id="3274" w:name="_Toc16559"/>
      <w:bookmarkStart w:id="3275" w:name="_Toc21168"/>
      <w:bookmarkStart w:id="3276" w:name="_Toc18491"/>
      <w:bookmarkStart w:id="3277" w:name="_Toc7920"/>
      <w:bookmarkStart w:id="3278" w:name="_Toc2115"/>
      <w:bookmarkStart w:id="3279" w:name="_Toc24592"/>
      <w:bookmarkStart w:id="3280" w:name="_Toc4582"/>
      <w:bookmarkStart w:id="3281" w:name="_Toc3096"/>
      <w:bookmarkStart w:id="3282" w:name="_Toc4163"/>
      <w:bookmarkStart w:id="3283" w:name="_Toc26392"/>
      <w:bookmarkStart w:id="3284" w:name="_Toc22923"/>
      <w:bookmarkStart w:id="3285" w:name="_Toc179"/>
      <w:bookmarkStart w:id="3286" w:name="_Toc24990"/>
      <w:bookmarkStart w:id="3287" w:name="_Toc13454"/>
      <w:bookmarkStart w:id="3288" w:name="_Toc27756"/>
      <w:bookmarkStart w:id="3289" w:name="_Toc19511"/>
      <w:bookmarkStart w:id="3290" w:name="_Toc19905"/>
      <w:r>
        <w:rPr>
          <w:rFonts w:ascii="黑体" w:eastAsia="黑体" w:hAnsi="黑体" w:cs="黑体" w:hint="eastAsia"/>
          <w:color w:val="000000" w:themeColor="text1"/>
          <w:sz w:val="28"/>
          <w:szCs w:val="28"/>
        </w:rPr>
        <w:t>11.4.2住房改革补贴办理流程</w:t>
      </w:r>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新入职享受住房改革补贴的教职工，由本人携带《机关事业单位个人享受政策性住房情况表》一式三份到后勤服务处综合管理科办理相关手续；如教职工在进校前有工作经历，需附加原单位开具的有关住房情况的说明。</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办公地点：行政西楼后座</w:t>
      </w:r>
      <w:r>
        <w:rPr>
          <w:rFonts w:ascii="仿宋_GB2312" w:eastAsia="仿宋_GB2312" w:hAnsi="仿宋_GB2312" w:cs="仿宋_GB2312"/>
          <w:color w:val="000000" w:themeColor="text1"/>
          <w:kern w:val="0"/>
          <w:sz w:val="24"/>
          <w:szCs w:val="24"/>
        </w:rPr>
        <w:t xml:space="preserve">331室         </w:t>
      </w:r>
      <w:r>
        <w:rPr>
          <w:rFonts w:ascii="仿宋_GB2312" w:eastAsia="仿宋_GB2312" w:hAnsi="仿宋_GB2312" w:cs="仿宋_GB2312" w:hint="eastAsia"/>
          <w:color w:val="000000" w:themeColor="text1"/>
          <w:kern w:val="0"/>
          <w:sz w:val="24"/>
          <w:szCs w:val="24"/>
        </w:rPr>
        <w:t>联系电话：</w:t>
      </w:r>
      <w:r>
        <w:rPr>
          <w:rFonts w:ascii="仿宋_GB2312" w:eastAsia="仿宋_GB2312" w:hAnsi="仿宋_GB2312" w:cs="仿宋_GB2312"/>
          <w:color w:val="000000" w:themeColor="text1"/>
          <w:kern w:val="0"/>
          <w:sz w:val="24"/>
          <w:szCs w:val="24"/>
        </w:rPr>
        <w:t>39366566</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3291" w:name="_Toc191"/>
      <w:bookmarkStart w:id="3292" w:name="_Toc6939"/>
      <w:bookmarkStart w:id="3293" w:name="_Toc23346"/>
      <w:bookmarkStart w:id="3294" w:name="_Toc5266"/>
      <w:bookmarkStart w:id="3295" w:name="_Toc31370"/>
      <w:bookmarkStart w:id="3296" w:name="_Toc469"/>
      <w:bookmarkStart w:id="3297" w:name="_Toc30988"/>
      <w:bookmarkStart w:id="3298" w:name="_Toc26114"/>
      <w:bookmarkStart w:id="3299" w:name="_Toc13567"/>
      <w:bookmarkStart w:id="3300" w:name="_Toc758"/>
      <w:bookmarkStart w:id="3301" w:name="_Toc23981"/>
      <w:bookmarkStart w:id="3302" w:name="_Toc30868"/>
      <w:bookmarkStart w:id="3303" w:name="_Toc10075"/>
      <w:bookmarkStart w:id="3304" w:name="_Toc519781060"/>
      <w:bookmarkStart w:id="3305" w:name="_Toc32469"/>
      <w:bookmarkStart w:id="3306" w:name="_Toc18967"/>
      <w:bookmarkStart w:id="3307" w:name="_Toc7412"/>
      <w:bookmarkStart w:id="3308" w:name="_Toc3721"/>
      <w:bookmarkStart w:id="3309" w:name="_Toc27193"/>
      <w:bookmarkStart w:id="3310" w:name="_Toc9517"/>
      <w:bookmarkStart w:id="3311" w:name="_Toc11478"/>
      <w:bookmarkStart w:id="3312" w:name="_Toc26480"/>
      <w:bookmarkStart w:id="3313" w:name="_Toc20049"/>
      <w:bookmarkStart w:id="3314" w:name="_Toc1256"/>
      <w:bookmarkStart w:id="3315" w:name="_Toc23559"/>
      <w:bookmarkStart w:id="3316" w:name="_Toc31947"/>
      <w:bookmarkStart w:id="3317" w:name="_Toc6436"/>
      <w:bookmarkStart w:id="3318" w:name="_Toc21260"/>
      <w:bookmarkStart w:id="3319" w:name="_Toc30257"/>
      <w:bookmarkStart w:id="3320" w:name="_Toc24169"/>
      <w:r>
        <w:rPr>
          <w:rFonts w:ascii="黑体" w:eastAsia="黑体" w:hAnsi="黑体" w:cs="黑体" w:hint="eastAsia"/>
          <w:color w:val="000000" w:themeColor="text1"/>
          <w:sz w:val="28"/>
          <w:szCs w:val="28"/>
        </w:rPr>
        <w:t>11.4.3</w:t>
      </w:r>
      <w:bookmarkEnd w:id="3291"/>
      <w:r>
        <w:rPr>
          <w:rFonts w:ascii="黑体" w:eastAsia="黑体" w:hAnsi="黑体" w:cs="黑体" w:hint="eastAsia"/>
          <w:color w:val="000000" w:themeColor="text1"/>
          <w:sz w:val="28"/>
          <w:szCs w:val="28"/>
        </w:rPr>
        <w:t>医疗服务</w:t>
      </w:r>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p>
    <w:p w:rsidR="00E37845" w:rsidRDefault="00E22BDD">
      <w:pPr>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一、门诊就诊指南</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按照学校规定，教职工是在定点的医疗机构就诊，校门诊部只面对在校学生，教职工如需在门诊部就诊，费用按全费收取。</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周一至周五：</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坐诊：</w:t>
      </w:r>
      <w:r>
        <w:rPr>
          <w:rFonts w:ascii="仿宋_GB2312" w:eastAsia="仿宋_GB2312" w:hAnsi="仿宋_GB2312" w:cs="仿宋_GB2312"/>
          <w:color w:val="000000" w:themeColor="text1"/>
          <w:sz w:val="24"/>
          <w:szCs w:val="24"/>
        </w:rPr>
        <w:t>8</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30——19</w:t>
      </w:r>
      <w:r>
        <w:rPr>
          <w:rFonts w:ascii="仿宋_GB2312" w:eastAsia="仿宋_GB2312" w:hAnsi="仿宋_GB2312" w:cs="仿宋_GB2312" w:hint="eastAsia"/>
          <w:color w:val="000000" w:themeColor="text1"/>
          <w:sz w:val="24"/>
          <w:szCs w:val="24"/>
        </w:rPr>
        <w:t>：</w:t>
      </w:r>
      <w:r>
        <w:rPr>
          <w:rFonts w:ascii="仿宋_GB2312" w:eastAsia="仿宋_GB2312" w:hAnsi="仿宋_GB2312" w:cs="仿宋_GB2312"/>
          <w:color w:val="000000" w:themeColor="text1"/>
          <w:sz w:val="24"/>
          <w:szCs w:val="24"/>
        </w:rPr>
        <w:t>00</w:t>
      </w:r>
      <w:r>
        <w:rPr>
          <w:rFonts w:ascii="仿宋_GB2312" w:eastAsia="仿宋_GB2312" w:hAnsi="仿宋_GB2312" w:cs="仿宋_GB2312" w:hint="eastAsia"/>
          <w:color w:val="000000" w:themeColor="text1"/>
          <w:sz w:val="24"/>
          <w:szCs w:val="24"/>
        </w:rPr>
        <w:t>其余时间看急诊。</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周末、节假日：</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坐诊：上午</w:t>
      </w:r>
      <w:r>
        <w:rPr>
          <w:rFonts w:ascii="仿宋_GB2312" w:eastAsia="仿宋_GB2312" w:hAnsi="仿宋_GB2312" w:cs="仿宋_GB2312"/>
          <w:color w:val="000000" w:themeColor="text1"/>
          <w:sz w:val="24"/>
          <w:szCs w:val="24"/>
        </w:rPr>
        <w:t>9：00——11：00；</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下午</w:t>
      </w:r>
      <w:r>
        <w:rPr>
          <w:rFonts w:ascii="仿宋_GB2312" w:eastAsia="仿宋_GB2312" w:hAnsi="仿宋_GB2312" w:cs="仿宋_GB2312"/>
          <w:color w:val="000000" w:themeColor="text1"/>
          <w:sz w:val="24"/>
          <w:szCs w:val="24"/>
        </w:rPr>
        <w:t>14：30——16：30；</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晚上</w:t>
      </w:r>
      <w:r>
        <w:rPr>
          <w:rFonts w:ascii="仿宋_GB2312" w:eastAsia="仿宋_GB2312" w:hAnsi="仿宋_GB2312" w:cs="仿宋_GB2312"/>
          <w:color w:val="000000" w:themeColor="text1"/>
          <w:sz w:val="24"/>
          <w:szCs w:val="24"/>
        </w:rPr>
        <w:t>19：00——21：00</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其余时间看急诊。</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急诊电话：</w:t>
      </w:r>
      <w:r>
        <w:rPr>
          <w:rFonts w:ascii="仿宋_GB2312" w:eastAsia="仿宋_GB2312" w:hAnsi="仿宋_GB2312" w:cs="仿宋_GB2312"/>
          <w:color w:val="000000" w:themeColor="text1"/>
          <w:sz w:val="24"/>
          <w:szCs w:val="24"/>
        </w:rPr>
        <w:t>13533441900</w:t>
      </w:r>
    </w:p>
    <w:p w:rsidR="00E37845" w:rsidRDefault="00E22BDD">
      <w:pPr>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二、公费医疗相关办事指南</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公费医疗办公电话：</w:t>
      </w:r>
      <w:r>
        <w:rPr>
          <w:rFonts w:ascii="仿宋_GB2312" w:eastAsia="仿宋_GB2312" w:hAnsi="仿宋_GB2312" w:cs="仿宋_GB2312"/>
          <w:color w:val="000000" w:themeColor="text1"/>
          <w:sz w:val="24"/>
          <w:szCs w:val="24"/>
        </w:rPr>
        <w:t>39366552；39366490</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有关公费医疗定点医疗机构名单、各种审批表，可在“广州大学门诊部”官网上下载。</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办理各类医疗证需要提供的资料</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新办干部职工：</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1.</w:t>
      </w:r>
      <w:r>
        <w:rPr>
          <w:rFonts w:ascii="仿宋_GB2312" w:eastAsia="仿宋_GB2312" w:hAnsi="仿宋_GB2312" w:cs="仿宋_GB2312"/>
          <w:color w:val="000000" w:themeColor="text1"/>
          <w:sz w:val="24"/>
          <w:szCs w:val="24"/>
        </w:rPr>
        <w:t>增人卡（原件和复印件）；</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2.</w:t>
      </w:r>
      <w:r>
        <w:rPr>
          <w:rFonts w:ascii="仿宋_GB2312" w:eastAsia="仿宋_GB2312" w:hAnsi="仿宋_GB2312" w:cs="仿宋_GB2312"/>
          <w:color w:val="000000" w:themeColor="text1"/>
          <w:sz w:val="24"/>
          <w:szCs w:val="24"/>
        </w:rPr>
        <w:t>调动介绍信或报到通知书（原件和复印件）</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lastRenderedPageBreak/>
        <w:t>3.</w:t>
      </w:r>
      <w:r>
        <w:rPr>
          <w:rFonts w:ascii="仿宋_GB2312" w:eastAsia="仿宋_GB2312" w:hAnsi="仿宋_GB2312" w:cs="仿宋_GB2312"/>
          <w:color w:val="000000" w:themeColor="text1"/>
          <w:sz w:val="24"/>
          <w:szCs w:val="24"/>
        </w:rPr>
        <w:t>小一寸照片一张（已有市民卡者不用交照片）</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4.</w:t>
      </w:r>
      <w:r>
        <w:rPr>
          <w:rFonts w:ascii="仿宋_GB2312" w:eastAsia="仿宋_GB2312" w:hAnsi="仿宋_GB2312" w:cs="仿宋_GB2312"/>
          <w:color w:val="000000" w:themeColor="text1"/>
          <w:sz w:val="24"/>
          <w:szCs w:val="24"/>
        </w:rPr>
        <w:t>填写信息登记表；</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办理任期内门诊优先：</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1.</w:t>
      </w:r>
      <w:r>
        <w:rPr>
          <w:rFonts w:ascii="仿宋_GB2312" w:eastAsia="仿宋_GB2312" w:hAnsi="仿宋_GB2312" w:cs="仿宋_GB2312"/>
          <w:color w:val="000000" w:themeColor="text1"/>
          <w:sz w:val="24"/>
          <w:szCs w:val="24"/>
        </w:rPr>
        <w:t>门优待遇审批表（一式两份）</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2.</w:t>
      </w:r>
      <w:r>
        <w:rPr>
          <w:rFonts w:ascii="仿宋_GB2312" w:eastAsia="仿宋_GB2312" w:hAnsi="仿宋_GB2312" w:cs="仿宋_GB2312"/>
          <w:color w:val="000000" w:themeColor="text1"/>
          <w:sz w:val="24"/>
          <w:szCs w:val="24"/>
        </w:rPr>
        <w:t>资格证书（原件和复印件）</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3.</w:t>
      </w:r>
      <w:r>
        <w:rPr>
          <w:rFonts w:ascii="仿宋_GB2312" w:eastAsia="仿宋_GB2312" w:hAnsi="仿宋_GB2312" w:cs="仿宋_GB2312"/>
          <w:color w:val="000000" w:themeColor="text1"/>
          <w:sz w:val="24"/>
          <w:szCs w:val="24"/>
        </w:rPr>
        <w:t>聘书（原件和复印件）</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4.</w:t>
      </w:r>
      <w:r>
        <w:rPr>
          <w:rFonts w:ascii="仿宋_GB2312" w:eastAsia="仿宋_GB2312" w:hAnsi="仿宋_GB2312" w:cs="仿宋_GB2312"/>
          <w:color w:val="000000" w:themeColor="text1"/>
          <w:sz w:val="24"/>
          <w:szCs w:val="24"/>
        </w:rPr>
        <w:t>干部医疗证</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 xml:space="preserve">转退休的人员： </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1.</w:t>
      </w:r>
      <w:r>
        <w:rPr>
          <w:rFonts w:ascii="仿宋_GB2312" w:eastAsia="仿宋_GB2312" w:hAnsi="仿宋_GB2312" w:cs="仿宋_GB2312"/>
          <w:color w:val="000000" w:themeColor="text1"/>
          <w:sz w:val="24"/>
          <w:szCs w:val="24"/>
        </w:rPr>
        <w:t>退休证原件和复印件</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2.</w:t>
      </w:r>
      <w:r>
        <w:rPr>
          <w:rFonts w:ascii="仿宋_GB2312" w:eastAsia="仿宋_GB2312" w:hAnsi="仿宋_GB2312" w:cs="仿宋_GB2312"/>
          <w:color w:val="000000" w:themeColor="text1"/>
          <w:sz w:val="24"/>
          <w:szCs w:val="24"/>
        </w:rPr>
        <w:t>医疗证原件</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3.</w:t>
      </w:r>
      <w:r>
        <w:rPr>
          <w:rFonts w:ascii="仿宋_GB2312" w:eastAsia="仿宋_GB2312" w:hAnsi="仿宋_GB2312" w:cs="仿宋_GB2312"/>
          <w:color w:val="000000" w:themeColor="text1"/>
          <w:sz w:val="24"/>
          <w:szCs w:val="24"/>
        </w:rPr>
        <w:t>转退休申请书</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▲如果持有双证副高职称或副处以上干部，需提供：资格证书、聘书（原件和复印件），门优待遇审批表（一式两份）；</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w:t>
      </w:r>
      <w:r>
        <w:rPr>
          <w:rFonts w:ascii="仿宋_GB2312" w:eastAsia="仿宋_GB2312" w:hAnsi="仿宋_GB2312" w:cs="仿宋_GB2312"/>
          <w:color w:val="000000" w:themeColor="text1"/>
          <w:sz w:val="24"/>
          <w:szCs w:val="24"/>
        </w:rPr>
        <w:t>更改医疗点：</w:t>
      </w:r>
    </w:p>
    <w:p w:rsidR="00E37845" w:rsidRDefault="00E22BDD">
      <w:pPr>
        <w:numPr>
          <w:ilvl w:val="255"/>
          <w:numId w:val="0"/>
        </w:numPr>
        <w:adjustRightInd w:val="0"/>
        <w:snapToGrid w:val="0"/>
        <w:spacing w:line="360" w:lineRule="auto"/>
        <w:ind w:leftChars="200" w:left="42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1.医疗证（原件）</w:t>
      </w:r>
    </w:p>
    <w:p w:rsidR="00E37845" w:rsidRDefault="00E22BDD">
      <w:pPr>
        <w:numPr>
          <w:ilvl w:val="255"/>
          <w:numId w:val="0"/>
        </w:numPr>
        <w:adjustRightInd w:val="0"/>
        <w:snapToGrid w:val="0"/>
        <w:spacing w:line="360" w:lineRule="auto"/>
        <w:ind w:leftChars="200" w:left="42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2.详细改点说明条（如某医院改为某医院）</w:t>
      </w:r>
    </w:p>
    <w:p w:rsidR="00E37845" w:rsidRDefault="00E22BDD">
      <w:pPr>
        <w:numPr>
          <w:ilvl w:val="255"/>
          <w:numId w:val="0"/>
        </w:numPr>
        <w:adjustRightInd w:val="0"/>
        <w:snapToGrid w:val="0"/>
        <w:spacing w:line="360" w:lineRule="auto"/>
        <w:ind w:leftChars="200" w:left="42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3.改点申请书</w:t>
      </w:r>
    </w:p>
    <w:p w:rsidR="00E37845" w:rsidRDefault="00E22BDD">
      <w:pPr>
        <w:numPr>
          <w:ilvl w:val="255"/>
          <w:numId w:val="0"/>
        </w:numPr>
        <w:adjustRightInd w:val="0"/>
        <w:snapToGrid w:val="0"/>
        <w:spacing w:line="360" w:lineRule="auto"/>
        <w:ind w:leftChars="200" w:left="42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4.房产证或租屋合同复印件</w:t>
      </w:r>
      <w:r>
        <w:rPr>
          <w:rFonts w:ascii="仿宋_GB2312" w:eastAsia="仿宋_GB2312" w:hAnsi="仿宋_GB2312" w:cs="仿宋_GB2312"/>
          <w:color w:val="000000" w:themeColor="text1"/>
          <w:sz w:val="24"/>
          <w:szCs w:val="24"/>
        </w:rPr>
        <w:t>1份（改点为地址变更者）,物业公司或居委会证明</w:t>
      </w:r>
    </w:p>
    <w:p w:rsidR="00E37845" w:rsidRDefault="00E22BDD">
      <w:pPr>
        <w:numPr>
          <w:ilvl w:val="255"/>
          <w:numId w:val="0"/>
        </w:numPr>
        <w:adjustRightInd w:val="0"/>
        <w:snapToGrid w:val="0"/>
        <w:spacing w:line="360" w:lineRule="auto"/>
        <w:ind w:leftChars="200" w:left="42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5.医院诊断证明（特殊疾病原因者）</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（五）</w:t>
      </w:r>
      <w:r>
        <w:rPr>
          <w:rFonts w:ascii="仿宋_GB2312" w:eastAsia="仿宋_GB2312" w:hAnsi="仿宋_GB2312" w:cs="仿宋_GB2312"/>
          <w:color w:val="000000" w:themeColor="text1"/>
          <w:sz w:val="24"/>
          <w:szCs w:val="24"/>
        </w:rPr>
        <w:t>新办家属医疗证（新生儿3月内，随签家属1月内办理）</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1.</w:t>
      </w:r>
      <w:r>
        <w:rPr>
          <w:rFonts w:ascii="仿宋_GB2312" w:eastAsia="仿宋_GB2312" w:hAnsi="仿宋_GB2312" w:cs="仿宋_GB2312"/>
          <w:color w:val="000000" w:themeColor="text1"/>
          <w:sz w:val="24"/>
          <w:szCs w:val="24"/>
        </w:rPr>
        <w:t>小孩出生证（原件及复印件）；</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2.</w:t>
      </w:r>
      <w:r>
        <w:rPr>
          <w:rFonts w:ascii="仿宋_GB2312" w:eastAsia="仿宋_GB2312" w:hAnsi="仿宋_GB2312" w:cs="仿宋_GB2312"/>
          <w:color w:val="000000" w:themeColor="text1"/>
          <w:sz w:val="24"/>
          <w:szCs w:val="24"/>
        </w:rPr>
        <w:t>小孩广州市户口原件及复印件（花都、南沙、从化、增城除外）；</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3.</w:t>
      </w:r>
      <w:r>
        <w:rPr>
          <w:rFonts w:ascii="仿宋_GB2312" w:eastAsia="仿宋_GB2312" w:hAnsi="仿宋_GB2312" w:cs="仿宋_GB2312"/>
          <w:color w:val="000000" w:themeColor="text1"/>
          <w:sz w:val="24"/>
          <w:szCs w:val="24"/>
        </w:rPr>
        <w:t>计划生育服务证（原件和复印件）(需到街道计生办登记小孩信息)；</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4.</w:t>
      </w:r>
      <w:r>
        <w:rPr>
          <w:rFonts w:ascii="仿宋_GB2312" w:eastAsia="仿宋_GB2312" w:hAnsi="仿宋_GB2312" w:cs="仿宋_GB2312"/>
          <w:color w:val="000000" w:themeColor="text1"/>
          <w:sz w:val="24"/>
          <w:szCs w:val="24"/>
        </w:rPr>
        <w:t>个人申请书（加盖人事处公章）</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5.</w:t>
      </w:r>
      <w:r>
        <w:rPr>
          <w:rFonts w:ascii="仿宋_GB2312" w:eastAsia="仿宋_GB2312" w:hAnsi="仿宋_GB2312" w:cs="仿宋_GB2312"/>
          <w:color w:val="000000" w:themeColor="text1"/>
          <w:sz w:val="24"/>
          <w:szCs w:val="24"/>
        </w:rPr>
        <w:t>配偶单位证明</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6.</w:t>
      </w:r>
      <w:r>
        <w:rPr>
          <w:rFonts w:ascii="仿宋_GB2312" w:eastAsia="仿宋_GB2312" w:hAnsi="仿宋_GB2312" w:cs="仿宋_GB2312"/>
          <w:color w:val="000000" w:themeColor="text1"/>
          <w:sz w:val="24"/>
          <w:szCs w:val="24"/>
        </w:rPr>
        <w:t>申请人医疗证原件及复印件，军人提供军官证</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7.</w:t>
      </w:r>
      <w:r>
        <w:rPr>
          <w:rFonts w:ascii="仿宋_GB2312" w:eastAsia="仿宋_GB2312" w:hAnsi="仿宋_GB2312" w:cs="仿宋_GB2312"/>
          <w:color w:val="000000" w:themeColor="text1"/>
          <w:sz w:val="24"/>
          <w:szCs w:val="24"/>
        </w:rPr>
        <w:t>小孩照片1张（小一寸）</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8.</w:t>
      </w:r>
      <w:r>
        <w:rPr>
          <w:rFonts w:ascii="仿宋_GB2312" w:eastAsia="仿宋_GB2312" w:hAnsi="仿宋_GB2312" w:cs="仿宋_GB2312"/>
          <w:color w:val="000000" w:themeColor="text1"/>
          <w:sz w:val="24"/>
          <w:szCs w:val="24"/>
        </w:rPr>
        <w:t>填写小孩信息登记表</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（六）</w:t>
      </w:r>
      <w:r>
        <w:rPr>
          <w:rFonts w:ascii="仿宋_GB2312" w:eastAsia="仿宋_GB2312" w:hAnsi="仿宋_GB2312" w:cs="仿宋_GB2312"/>
          <w:color w:val="000000" w:themeColor="text1"/>
          <w:sz w:val="24"/>
          <w:szCs w:val="24"/>
        </w:rPr>
        <w:t>家属医疗证延期（年满18岁仍就读普通高三的学生可在到期前2月可提出申请）</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lastRenderedPageBreak/>
        <w:t>1.</w:t>
      </w:r>
      <w:r>
        <w:rPr>
          <w:rFonts w:ascii="仿宋_GB2312" w:eastAsia="仿宋_GB2312" w:hAnsi="仿宋_GB2312" w:cs="仿宋_GB2312"/>
          <w:color w:val="000000" w:themeColor="text1"/>
          <w:sz w:val="24"/>
          <w:szCs w:val="24"/>
        </w:rPr>
        <w:t>填写延期申请表（公医办领取）</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2.</w:t>
      </w:r>
      <w:r>
        <w:rPr>
          <w:rFonts w:ascii="仿宋_GB2312" w:eastAsia="仿宋_GB2312" w:hAnsi="仿宋_GB2312" w:cs="仿宋_GB2312"/>
          <w:color w:val="000000" w:themeColor="text1"/>
          <w:sz w:val="24"/>
          <w:szCs w:val="24"/>
        </w:rPr>
        <w:t>小孩身份证复印件</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3.</w:t>
      </w:r>
      <w:r>
        <w:rPr>
          <w:rFonts w:ascii="仿宋_GB2312" w:eastAsia="仿宋_GB2312" w:hAnsi="仿宋_GB2312" w:cs="仿宋_GB2312"/>
          <w:color w:val="000000" w:themeColor="text1"/>
          <w:sz w:val="24"/>
          <w:szCs w:val="24"/>
        </w:rPr>
        <w:t>小孩医疗证（原件及复印件1份</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4.</w:t>
      </w:r>
      <w:r>
        <w:rPr>
          <w:rFonts w:ascii="仿宋_GB2312" w:eastAsia="仿宋_GB2312" w:hAnsi="仿宋_GB2312" w:cs="仿宋_GB2312"/>
          <w:color w:val="000000" w:themeColor="text1"/>
          <w:sz w:val="24"/>
          <w:szCs w:val="24"/>
        </w:rPr>
        <w:t>学校在读证明（到就读学校教务处办理）</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（七）</w:t>
      </w:r>
      <w:r>
        <w:rPr>
          <w:rFonts w:ascii="仿宋_GB2312" w:eastAsia="仿宋_GB2312" w:hAnsi="仿宋_GB2312" w:cs="仿宋_GB2312"/>
          <w:color w:val="000000" w:themeColor="text1"/>
          <w:sz w:val="24"/>
          <w:szCs w:val="24"/>
        </w:rPr>
        <w:t>医疗证注销（退证）</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1.</w:t>
      </w:r>
      <w:r>
        <w:rPr>
          <w:rFonts w:ascii="仿宋_GB2312" w:eastAsia="仿宋_GB2312" w:hAnsi="仿宋_GB2312" w:cs="仿宋_GB2312"/>
          <w:color w:val="000000" w:themeColor="text1"/>
          <w:sz w:val="24"/>
          <w:szCs w:val="24"/>
        </w:rPr>
        <w:t>填写退证申请</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2.</w:t>
      </w:r>
      <w:r>
        <w:rPr>
          <w:rFonts w:ascii="仿宋_GB2312" w:eastAsia="仿宋_GB2312" w:hAnsi="仿宋_GB2312" w:cs="仿宋_GB2312"/>
          <w:color w:val="000000" w:themeColor="text1"/>
          <w:sz w:val="24"/>
          <w:szCs w:val="24"/>
        </w:rPr>
        <w:t>医疗证原件</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（八）</w:t>
      </w:r>
      <w:r>
        <w:rPr>
          <w:rFonts w:ascii="仿宋_GB2312" w:eastAsia="仿宋_GB2312" w:hAnsi="仿宋_GB2312" w:cs="仿宋_GB2312"/>
          <w:color w:val="000000" w:themeColor="text1"/>
          <w:sz w:val="24"/>
          <w:szCs w:val="24"/>
        </w:rPr>
        <w:t>办理优先医疗证（办高知）</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1.</w:t>
      </w:r>
      <w:r>
        <w:rPr>
          <w:rFonts w:ascii="仿宋_GB2312" w:eastAsia="仿宋_GB2312" w:hAnsi="仿宋_GB2312" w:cs="仿宋_GB2312"/>
          <w:color w:val="000000" w:themeColor="text1"/>
          <w:sz w:val="24"/>
          <w:szCs w:val="24"/>
        </w:rPr>
        <w:t>门优待遇审批表（一式两份）</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2.</w:t>
      </w:r>
      <w:r>
        <w:rPr>
          <w:rFonts w:ascii="仿宋_GB2312" w:eastAsia="仿宋_GB2312" w:hAnsi="仿宋_GB2312" w:cs="仿宋_GB2312"/>
          <w:color w:val="000000" w:themeColor="text1"/>
          <w:sz w:val="24"/>
          <w:szCs w:val="24"/>
        </w:rPr>
        <w:t>资格证书（原件和复印件）</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3.</w:t>
      </w:r>
      <w:r>
        <w:rPr>
          <w:rFonts w:ascii="仿宋_GB2312" w:eastAsia="仿宋_GB2312" w:hAnsi="仿宋_GB2312" w:cs="仿宋_GB2312"/>
          <w:color w:val="000000" w:themeColor="text1"/>
          <w:sz w:val="24"/>
          <w:szCs w:val="24"/>
        </w:rPr>
        <w:t>聘书（原件及复印件）</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4.</w:t>
      </w:r>
      <w:r>
        <w:rPr>
          <w:rFonts w:ascii="仿宋_GB2312" w:eastAsia="仿宋_GB2312" w:hAnsi="仿宋_GB2312" w:cs="仿宋_GB2312"/>
          <w:color w:val="000000" w:themeColor="text1"/>
          <w:sz w:val="24"/>
          <w:szCs w:val="24"/>
        </w:rPr>
        <w:t>医疗证原件</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5.</w:t>
      </w:r>
      <w:r>
        <w:rPr>
          <w:rFonts w:ascii="仿宋_GB2312" w:eastAsia="仿宋_GB2312" w:hAnsi="仿宋_GB2312" w:cs="仿宋_GB2312"/>
          <w:color w:val="000000" w:themeColor="text1"/>
          <w:sz w:val="24"/>
          <w:szCs w:val="24"/>
        </w:rPr>
        <w:t>连续3个月工资待遇证明</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（九）</w:t>
      </w:r>
      <w:r>
        <w:rPr>
          <w:rFonts w:ascii="仿宋_GB2312" w:eastAsia="仿宋_GB2312" w:hAnsi="仿宋_GB2312" w:cs="仿宋_GB2312"/>
          <w:color w:val="000000" w:themeColor="text1"/>
          <w:sz w:val="24"/>
          <w:szCs w:val="24"/>
        </w:rPr>
        <w:t>挂失补办</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1.</w:t>
      </w:r>
      <w:r>
        <w:rPr>
          <w:rFonts w:ascii="仿宋_GB2312" w:eastAsia="仿宋_GB2312" w:hAnsi="仿宋_GB2312" w:cs="仿宋_GB2312"/>
          <w:color w:val="000000" w:themeColor="text1"/>
          <w:sz w:val="24"/>
          <w:szCs w:val="24"/>
        </w:rPr>
        <w:t xml:space="preserve">公医证挂失到公医办填写挂失补办申请  </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2.</w:t>
      </w:r>
      <w:r>
        <w:rPr>
          <w:rFonts w:ascii="仿宋_GB2312" w:eastAsia="仿宋_GB2312" w:hAnsi="仿宋_GB2312" w:cs="仿宋_GB2312"/>
          <w:color w:val="000000" w:themeColor="text1"/>
          <w:sz w:val="24"/>
          <w:szCs w:val="24"/>
        </w:rPr>
        <w:t>市民卡挂失需自行到发卡银行办理</w:t>
      </w:r>
    </w:p>
    <w:p w:rsidR="00E37845" w:rsidRDefault="00E22BDD">
      <w:pPr>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三、门诊特殊检查治疗申请流程</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门诊单项费用超过</w:t>
      </w:r>
      <w:r>
        <w:rPr>
          <w:rFonts w:ascii="仿宋_GB2312" w:eastAsia="仿宋_GB2312" w:hAnsi="仿宋_GB2312" w:cs="仿宋_GB2312"/>
          <w:color w:val="000000" w:themeColor="text1"/>
          <w:sz w:val="24"/>
          <w:szCs w:val="24"/>
        </w:rPr>
        <w:t>500元的检查、治疗项目按规定办理“门诊特殊检查治疗申请”审批通过后，按人员类别相应的门诊记账比例记账。检查中须使用造影剂等辅助检查的相关药品，一并申请按检查费记账结算。</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门诊特殊检查治疗申请流程：</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公费医疗享受人员就医</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公医挂钩医院主诊医生填写《广州市公费医疗门诊特殊检查治疗申请表》，副主任医生以上人员复核并签字</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（三）</w:t>
      </w:r>
      <w:r>
        <w:rPr>
          <w:rFonts w:ascii="仿宋_GB2312" w:eastAsia="仿宋_GB2312" w:hAnsi="仿宋_GB2312" w:cs="仿宋_GB2312"/>
          <w:color w:val="000000" w:themeColor="text1"/>
          <w:sz w:val="24"/>
          <w:szCs w:val="24"/>
        </w:rPr>
        <w:t>医疗机构医保办（或医务部门）核实盖章</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w:t>
      </w:r>
      <w:r>
        <w:rPr>
          <w:rFonts w:ascii="仿宋_GB2312" w:eastAsia="仿宋_GB2312" w:hAnsi="仿宋_GB2312" w:cs="仿宋_GB2312"/>
          <w:color w:val="000000" w:themeColor="text1"/>
          <w:sz w:val="24"/>
          <w:szCs w:val="24"/>
        </w:rPr>
        <w:t>公医享受人员到所在单位申请同意并盖章</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（五）</w:t>
      </w:r>
      <w:r>
        <w:rPr>
          <w:rFonts w:ascii="仿宋_GB2312" w:eastAsia="仿宋_GB2312" w:hAnsi="仿宋_GB2312" w:cs="仿宋_GB2312"/>
          <w:color w:val="000000" w:themeColor="text1"/>
          <w:sz w:val="24"/>
          <w:szCs w:val="24"/>
        </w:rPr>
        <w:t>享受人员将申请表交回医疗机构</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（六）</w:t>
      </w:r>
      <w:r>
        <w:rPr>
          <w:rFonts w:ascii="仿宋_GB2312" w:eastAsia="仿宋_GB2312" w:hAnsi="仿宋_GB2312" w:cs="仿宋_GB2312"/>
          <w:color w:val="000000" w:themeColor="text1"/>
          <w:sz w:val="24"/>
          <w:szCs w:val="24"/>
        </w:rPr>
        <w:t>医疗机构在市公医系统上提交申请并代填写单位审批意见，办理审批成功，结算时系统自动核算待遇</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公医门诊医疗定点机构改点须知</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lastRenderedPageBreak/>
        <w:t>门诊选定医疗机构一经选定，原则上不予更改。属于以下情形的，由单位经办人凭单位公函及相应资料办理门诊选定医疗机构改点手续：</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1.离休人员；</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2.工作或就学地点变动的，提供单位或学校证明；</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3.居住地变化或户口迁移的，提供原居住及现居住地住址证明（房产证复印件、购房合同复印件、租房合同复印件、暂住证复印件、户口本复印件、身份证复印件、街道居委会证明、物业公司证明、公安部门证明等）或户口迁移证明；</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4.经公医管理部门确认门诊选定医疗机构资质（如新增、撤销、合并、专科、综合、大/小点）发生变化的；</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5.享受人员办理转退休待遇手续时，提供退休证复印件；</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6.确因病情需要且原门诊选定医疗机构医疗条件不能满足治疗需求的，提供疾病诊断证明及相关病历。</w:t>
      </w:r>
    </w:p>
    <w:p w:rsidR="00E37845" w:rsidRDefault="00E22BDD">
      <w:pPr>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四、零星报销需要提供的材料</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特殊治疗检查零报提供以下材料：</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1.</w:t>
      </w:r>
      <w:r>
        <w:rPr>
          <w:rFonts w:ascii="仿宋_GB2312" w:eastAsia="仿宋_GB2312" w:hAnsi="仿宋_GB2312" w:cs="仿宋_GB2312"/>
          <w:color w:val="000000" w:themeColor="text1"/>
          <w:sz w:val="24"/>
          <w:szCs w:val="24"/>
        </w:rPr>
        <w:t xml:space="preserve">收费发票   </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2.</w:t>
      </w:r>
      <w:r>
        <w:rPr>
          <w:rFonts w:ascii="仿宋_GB2312" w:eastAsia="仿宋_GB2312" w:hAnsi="仿宋_GB2312" w:cs="仿宋_GB2312"/>
          <w:color w:val="000000" w:themeColor="text1"/>
          <w:sz w:val="24"/>
          <w:szCs w:val="24"/>
        </w:rPr>
        <w:t xml:space="preserve">住院医疗费用结算单 </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3.</w:t>
      </w:r>
      <w:r>
        <w:rPr>
          <w:rFonts w:ascii="仿宋_GB2312" w:eastAsia="仿宋_GB2312" w:hAnsi="仿宋_GB2312" w:cs="仿宋_GB2312"/>
          <w:color w:val="000000" w:themeColor="text1"/>
          <w:sz w:val="24"/>
          <w:szCs w:val="24"/>
        </w:rPr>
        <w:t>住院病人费用明细清单</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4.</w:t>
      </w:r>
      <w:r>
        <w:rPr>
          <w:rFonts w:ascii="仿宋_GB2312" w:eastAsia="仿宋_GB2312" w:hAnsi="仿宋_GB2312" w:cs="仿宋_GB2312"/>
          <w:color w:val="000000" w:themeColor="text1"/>
          <w:sz w:val="24"/>
          <w:szCs w:val="24"/>
        </w:rPr>
        <w:t>检查结果报告或手术费用明细表</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5.</w:t>
      </w:r>
      <w:r>
        <w:rPr>
          <w:rFonts w:ascii="仿宋_GB2312" w:eastAsia="仿宋_GB2312" w:hAnsi="仿宋_GB2312" w:cs="仿宋_GB2312"/>
          <w:color w:val="000000" w:themeColor="text1"/>
          <w:sz w:val="24"/>
          <w:szCs w:val="24"/>
        </w:rPr>
        <w:t>检查、治疗申请审批表</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6.</w:t>
      </w:r>
      <w:r>
        <w:rPr>
          <w:rFonts w:ascii="仿宋_GB2312" w:eastAsia="仿宋_GB2312" w:hAnsi="仿宋_GB2312" w:cs="仿宋_GB2312"/>
          <w:color w:val="000000" w:themeColor="text1"/>
          <w:sz w:val="24"/>
          <w:szCs w:val="24"/>
        </w:rPr>
        <w:t>特殊检查、治疗报销申请单</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7.</w:t>
      </w:r>
      <w:r>
        <w:rPr>
          <w:rFonts w:ascii="仿宋_GB2312" w:eastAsia="仿宋_GB2312" w:hAnsi="仿宋_GB2312" w:cs="仿宋_GB2312"/>
          <w:color w:val="000000" w:themeColor="text1"/>
          <w:sz w:val="24"/>
          <w:szCs w:val="24"/>
        </w:rPr>
        <w:t xml:space="preserve">出院小结 </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8.</w:t>
      </w:r>
      <w:r>
        <w:rPr>
          <w:rFonts w:ascii="仿宋_GB2312" w:eastAsia="仿宋_GB2312" w:hAnsi="仿宋_GB2312" w:cs="仿宋_GB2312"/>
          <w:color w:val="000000" w:themeColor="text1"/>
          <w:sz w:val="24"/>
          <w:szCs w:val="24"/>
        </w:rPr>
        <w:t>医疗证复印件</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异地急诊医疗零报另须提供以下材料：</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1.</w:t>
      </w:r>
      <w:r>
        <w:rPr>
          <w:rFonts w:ascii="仿宋_GB2312" w:eastAsia="仿宋_GB2312" w:hAnsi="仿宋_GB2312" w:cs="仿宋_GB2312"/>
          <w:color w:val="000000" w:themeColor="text1"/>
          <w:sz w:val="24"/>
          <w:szCs w:val="24"/>
        </w:rPr>
        <w:t>异地门诊急诊病例/费用明细清单</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2.</w:t>
      </w:r>
      <w:r>
        <w:rPr>
          <w:rFonts w:ascii="仿宋_GB2312" w:eastAsia="仿宋_GB2312" w:hAnsi="仿宋_GB2312" w:cs="仿宋_GB2312"/>
          <w:color w:val="000000" w:themeColor="text1"/>
          <w:sz w:val="24"/>
          <w:szCs w:val="24"/>
        </w:rPr>
        <w:t>异地急诊个人情况说明（须加学院，人事处意见）</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3.</w:t>
      </w:r>
      <w:r>
        <w:rPr>
          <w:rFonts w:ascii="仿宋_GB2312" w:eastAsia="仿宋_GB2312" w:hAnsi="仿宋_GB2312" w:cs="仿宋_GB2312"/>
          <w:color w:val="000000" w:themeColor="text1"/>
          <w:sz w:val="24"/>
          <w:szCs w:val="24"/>
        </w:rPr>
        <w:t xml:space="preserve">外出公差文件或会议邀请函（须加学院，人事处意见） </w:t>
      </w:r>
    </w:p>
    <w:p w:rsidR="00E37845" w:rsidRDefault="00E22BDD">
      <w:pPr>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五、出国人员临时就医卡延期办理须知</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根据市公医处最新规定，出国人员临时就医卡延期需提交以下材料：</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（一）</w:t>
      </w:r>
      <w:r>
        <w:rPr>
          <w:rFonts w:ascii="仿宋_GB2312" w:eastAsia="仿宋_GB2312" w:hAnsi="仿宋_GB2312" w:cs="仿宋_GB2312"/>
          <w:color w:val="000000" w:themeColor="text1"/>
          <w:sz w:val="24"/>
          <w:szCs w:val="24"/>
        </w:rPr>
        <w:t>个人书面申请并盖单位公章</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（二）</w:t>
      </w:r>
      <w:r>
        <w:rPr>
          <w:rFonts w:ascii="仿宋_GB2312" w:eastAsia="仿宋_GB2312" w:hAnsi="仿宋_GB2312" w:cs="仿宋_GB2312"/>
          <w:color w:val="000000" w:themeColor="text1"/>
          <w:sz w:val="24"/>
          <w:szCs w:val="24"/>
        </w:rPr>
        <w:t>个人有效身份证原件及复印件1份</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lastRenderedPageBreak/>
        <w:t>（三）</w:t>
      </w:r>
      <w:r>
        <w:rPr>
          <w:rFonts w:ascii="仿宋_GB2312" w:eastAsia="仿宋_GB2312" w:hAnsi="仿宋_GB2312" w:cs="仿宋_GB2312"/>
          <w:color w:val="000000" w:themeColor="text1"/>
          <w:sz w:val="24"/>
          <w:szCs w:val="24"/>
        </w:rPr>
        <w:t>公医证原件</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（四）</w:t>
      </w:r>
      <w:r>
        <w:rPr>
          <w:rFonts w:ascii="仿宋_GB2312" w:eastAsia="仿宋_GB2312" w:hAnsi="仿宋_GB2312" w:cs="仿宋_GB2312"/>
          <w:color w:val="000000" w:themeColor="text1"/>
          <w:sz w:val="24"/>
          <w:szCs w:val="24"/>
        </w:rPr>
        <w:t>回乡证原件及复印件1份（港、澳）</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（五）</w:t>
      </w:r>
      <w:r>
        <w:rPr>
          <w:rFonts w:ascii="仿宋_GB2312" w:eastAsia="仿宋_GB2312" w:hAnsi="仿宋_GB2312" w:cs="仿宋_GB2312"/>
          <w:color w:val="000000" w:themeColor="text1"/>
          <w:sz w:val="24"/>
          <w:szCs w:val="24"/>
        </w:rPr>
        <w:t>旧的临时就医卡</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（六）</w:t>
      </w:r>
      <w:r>
        <w:rPr>
          <w:rFonts w:ascii="仿宋_GB2312" w:eastAsia="仿宋_GB2312" w:hAnsi="仿宋_GB2312" w:cs="仿宋_GB2312"/>
          <w:color w:val="000000" w:themeColor="text1"/>
          <w:sz w:val="24"/>
          <w:szCs w:val="24"/>
        </w:rPr>
        <w:t>小一寸照片1张</w:t>
      </w:r>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备注：</w:t>
      </w:r>
      <w:r>
        <w:rPr>
          <w:rFonts w:ascii="仿宋_GB2312" w:eastAsia="仿宋_GB2312" w:hAnsi="仿宋_GB2312" w:cs="仿宋_GB2312"/>
          <w:color w:val="000000" w:themeColor="text1"/>
          <w:sz w:val="24"/>
          <w:szCs w:val="24"/>
        </w:rPr>
        <w:t>延期可提前15-30天提交申请办理</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3321" w:name="_Toc12240"/>
      <w:bookmarkStart w:id="3322" w:name="_Toc10175"/>
      <w:bookmarkStart w:id="3323" w:name="_Toc26843"/>
      <w:bookmarkStart w:id="3324" w:name="_Toc16607"/>
      <w:bookmarkStart w:id="3325" w:name="_Toc7154"/>
      <w:bookmarkStart w:id="3326" w:name="_Toc8827"/>
      <w:bookmarkStart w:id="3327" w:name="_Toc12116"/>
      <w:bookmarkStart w:id="3328" w:name="_Toc13440"/>
      <w:bookmarkStart w:id="3329" w:name="_Toc30962"/>
      <w:bookmarkStart w:id="3330" w:name="_Toc1040"/>
      <w:bookmarkStart w:id="3331" w:name="_Toc23364"/>
      <w:bookmarkStart w:id="3332" w:name="_Toc519781061"/>
      <w:bookmarkStart w:id="3333" w:name="_Toc18789"/>
      <w:bookmarkStart w:id="3334" w:name="_Toc22983"/>
      <w:bookmarkStart w:id="3335" w:name="_Toc29489"/>
      <w:bookmarkStart w:id="3336" w:name="_Toc30692"/>
      <w:bookmarkStart w:id="3337" w:name="_Toc31392"/>
      <w:bookmarkStart w:id="3338" w:name="_Toc22748"/>
      <w:bookmarkStart w:id="3339" w:name="_Toc24677"/>
      <w:bookmarkStart w:id="3340" w:name="_Toc10862"/>
      <w:bookmarkStart w:id="3341" w:name="_Toc23089"/>
      <w:bookmarkStart w:id="3342" w:name="_Toc10337"/>
      <w:bookmarkStart w:id="3343" w:name="_Toc21261"/>
      <w:bookmarkStart w:id="3344" w:name="_Toc25155"/>
      <w:bookmarkStart w:id="3345" w:name="_Toc11072"/>
      <w:bookmarkStart w:id="3346" w:name="_Toc28333"/>
      <w:bookmarkStart w:id="3347" w:name="_Toc29957"/>
      <w:bookmarkStart w:id="3348" w:name="_Toc11398"/>
      <w:bookmarkStart w:id="3349" w:name="_Toc24328"/>
      <w:bookmarkStart w:id="3350" w:name="_Toc32344"/>
      <w:r>
        <w:rPr>
          <w:rFonts w:ascii="黑体" w:eastAsia="黑体" w:hAnsi="黑体" w:cs="黑体" w:hint="eastAsia"/>
          <w:color w:val="000000" w:themeColor="text1"/>
          <w:sz w:val="28"/>
          <w:szCs w:val="28"/>
        </w:rPr>
        <w:t>11.4.4</w:t>
      </w:r>
      <w:bookmarkStart w:id="3351" w:name="_Toc8043"/>
      <w:bookmarkEnd w:id="3321"/>
      <w:r>
        <w:rPr>
          <w:rFonts w:ascii="黑体" w:eastAsia="黑体" w:hAnsi="黑体" w:cs="黑体" w:hint="eastAsia"/>
          <w:color w:val="000000" w:themeColor="text1"/>
          <w:sz w:val="28"/>
          <w:szCs w:val="28"/>
        </w:rPr>
        <w:t>教师个人通讯业务</w:t>
      </w:r>
      <w:bookmarkEnd w:id="3351"/>
      <w:r>
        <w:rPr>
          <w:rFonts w:ascii="黑体" w:eastAsia="黑体" w:hAnsi="黑体" w:cs="黑体" w:hint="eastAsia"/>
          <w:color w:val="000000" w:themeColor="text1"/>
          <w:sz w:val="28"/>
          <w:szCs w:val="28"/>
        </w:rPr>
        <w:t>咨询服务</w:t>
      </w:r>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p>
    <w:p w:rsidR="00E37845" w:rsidRDefault="00E22BDD">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后勤服务处资产管理科提供个人电信套餐咨询业务，如需办理个人电信套餐，可到资产管理科咨询后再到电信营业厅办理具体业务。</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办公地点：行政西后座</w:t>
      </w:r>
      <w:r>
        <w:rPr>
          <w:rFonts w:ascii="仿宋_GB2312" w:eastAsia="仿宋_GB2312" w:hAnsi="仿宋_GB2312" w:cs="仿宋_GB2312"/>
          <w:color w:val="000000" w:themeColor="text1"/>
          <w:sz w:val="24"/>
          <w:szCs w:val="24"/>
        </w:rPr>
        <w:t xml:space="preserve">332室       </w:t>
      </w:r>
      <w:r>
        <w:rPr>
          <w:rFonts w:ascii="仿宋_GB2312" w:eastAsia="仿宋_GB2312" w:hAnsi="仿宋_GB2312" w:cs="仿宋_GB2312" w:hint="eastAsia"/>
          <w:color w:val="000000" w:themeColor="text1"/>
          <w:sz w:val="24"/>
          <w:szCs w:val="24"/>
        </w:rPr>
        <w:t>联系电话：</w:t>
      </w:r>
      <w:r>
        <w:rPr>
          <w:rFonts w:ascii="仿宋_GB2312" w:eastAsia="仿宋_GB2312" w:hAnsi="仿宋_GB2312" w:cs="仿宋_GB2312"/>
          <w:color w:val="000000" w:themeColor="text1"/>
          <w:sz w:val="24"/>
          <w:szCs w:val="24"/>
        </w:rPr>
        <w:t>39366130</w:t>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3352" w:name="_Toc6833"/>
      <w:bookmarkStart w:id="3353" w:name="_Toc25169"/>
      <w:bookmarkStart w:id="3354" w:name="_Toc30604"/>
      <w:bookmarkStart w:id="3355" w:name="_Toc519781062"/>
      <w:bookmarkStart w:id="3356" w:name="_Toc11276"/>
      <w:bookmarkStart w:id="3357" w:name="_Toc9990"/>
      <w:bookmarkStart w:id="3358" w:name="_Toc15719"/>
      <w:bookmarkStart w:id="3359" w:name="_Toc15718"/>
      <w:bookmarkStart w:id="3360" w:name="_Toc23675"/>
      <w:bookmarkStart w:id="3361" w:name="_Toc26361"/>
      <w:bookmarkStart w:id="3362" w:name="_Toc23699"/>
      <w:bookmarkStart w:id="3363" w:name="_Toc27087"/>
      <w:bookmarkStart w:id="3364" w:name="_Toc19813"/>
      <w:bookmarkStart w:id="3365" w:name="_Toc915"/>
      <w:bookmarkStart w:id="3366" w:name="_Toc11540"/>
      <w:bookmarkStart w:id="3367" w:name="_Toc15728"/>
      <w:bookmarkStart w:id="3368" w:name="_Toc13690"/>
      <w:bookmarkStart w:id="3369" w:name="_Toc24432"/>
      <w:bookmarkStart w:id="3370" w:name="_Toc30926"/>
      <w:bookmarkStart w:id="3371" w:name="_Toc19130"/>
      <w:bookmarkStart w:id="3372" w:name="_Toc8142"/>
      <w:bookmarkStart w:id="3373" w:name="_Toc30237"/>
      <w:bookmarkStart w:id="3374" w:name="_Toc17084"/>
      <w:bookmarkStart w:id="3375" w:name="_Toc4302"/>
      <w:bookmarkStart w:id="3376" w:name="_Toc29431"/>
      <w:bookmarkStart w:id="3377" w:name="_Toc26758"/>
      <w:bookmarkStart w:id="3378" w:name="_Toc11955"/>
      <w:bookmarkStart w:id="3379" w:name="_Toc14474"/>
      <w:bookmarkStart w:id="3380" w:name="_Toc1380"/>
      <w:bookmarkStart w:id="3381" w:name="_Toc3267"/>
      <w:r>
        <w:rPr>
          <w:rFonts w:ascii="黑体" w:eastAsia="黑体" w:hAnsi="黑体" w:cs="黑体" w:hint="eastAsia"/>
          <w:color w:val="000000" w:themeColor="text1"/>
          <w:sz w:val="28"/>
          <w:szCs w:val="28"/>
        </w:rPr>
        <w:t>11.4.5餐饮、会议、宾馆服务</w:t>
      </w:r>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p>
    <w:p w:rsidR="00E37845" w:rsidRDefault="00E22BDD">
      <w:pPr>
        <w:autoSpaceDE w:val="0"/>
        <w:autoSpaceDN w:val="0"/>
        <w:adjustRightInd w:val="0"/>
        <w:snapToGrid w:val="0"/>
        <w:spacing w:line="360" w:lineRule="auto"/>
        <w:ind w:firstLineChars="200" w:firstLine="482"/>
        <w:jc w:val="left"/>
        <w:rPr>
          <w:rFonts w:ascii="黑体" w:eastAsia="黑体" w:hAnsi="黑体" w:cs="黑体"/>
          <w:color w:val="000000" w:themeColor="text1"/>
          <w:kern w:val="0"/>
          <w:sz w:val="24"/>
          <w:szCs w:val="24"/>
        </w:rPr>
      </w:pPr>
      <w:r>
        <w:rPr>
          <w:rFonts w:ascii="黑体" w:eastAsia="黑体" w:hAnsi="黑体" w:cs="黑体" w:hint="eastAsia"/>
          <w:b/>
          <w:bCs/>
          <w:color w:val="000000" w:themeColor="text1"/>
          <w:kern w:val="0"/>
          <w:sz w:val="24"/>
          <w:szCs w:val="24"/>
        </w:rPr>
        <w:t>一、各餐厅供应情况</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梅苑餐厅</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一楼大众伙食  二楼风味特色  三楼民族风味餐厅</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早餐</w:t>
      </w:r>
      <w:r>
        <w:rPr>
          <w:rFonts w:ascii="仿宋_GB2312" w:eastAsia="仿宋_GB2312" w:hAnsi="仿宋_GB2312" w:cs="仿宋_GB2312"/>
          <w:color w:val="000000" w:themeColor="text1"/>
          <w:kern w:val="0"/>
          <w:sz w:val="24"/>
          <w:szCs w:val="24"/>
        </w:rPr>
        <w:t xml:space="preserve">7：00—9：00  </w:t>
      </w:r>
      <w:r>
        <w:rPr>
          <w:rFonts w:ascii="仿宋_GB2312" w:eastAsia="仿宋_GB2312" w:hAnsi="仿宋_GB2312" w:cs="仿宋_GB2312" w:hint="eastAsia"/>
          <w:color w:val="000000" w:themeColor="text1"/>
          <w:kern w:val="0"/>
          <w:sz w:val="24"/>
          <w:szCs w:val="24"/>
        </w:rPr>
        <w:t>午餐</w:t>
      </w:r>
      <w:r>
        <w:rPr>
          <w:rFonts w:ascii="仿宋_GB2312" w:eastAsia="仿宋_GB2312" w:hAnsi="仿宋_GB2312" w:cs="仿宋_GB2312"/>
          <w:color w:val="000000" w:themeColor="text1"/>
          <w:kern w:val="0"/>
          <w:sz w:val="24"/>
          <w:szCs w:val="24"/>
        </w:rPr>
        <w:t xml:space="preserve">11：00—13：00  </w:t>
      </w:r>
      <w:r>
        <w:rPr>
          <w:rFonts w:ascii="仿宋_GB2312" w:eastAsia="仿宋_GB2312" w:hAnsi="仿宋_GB2312" w:cs="仿宋_GB2312" w:hint="eastAsia"/>
          <w:color w:val="000000" w:themeColor="text1"/>
          <w:kern w:val="0"/>
          <w:sz w:val="24"/>
          <w:szCs w:val="24"/>
        </w:rPr>
        <w:t>晚餐</w:t>
      </w:r>
      <w:r>
        <w:rPr>
          <w:rFonts w:ascii="仿宋_GB2312" w:eastAsia="仿宋_GB2312" w:hAnsi="仿宋_GB2312" w:cs="仿宋_GB2312"/>
          <w:color w:val="000000" w:themeColor="text1"/>
          <w:kern w:val="0"/>
          <w:sz w:val="24"/>
          <w:szCs w:val="24"/>
        </w:rPr>
        <w:t>17：00—19：00</w:t>
      </w:r>
    </w:p>
    <w:p w:rsidR="00E37845" w:rsidRDefault="00E37845">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兰苑餐厅</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一楼大众伙食  二楼大众伙食  三楼风味食街</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早餐</w:t>
      </w:r>
      <w:r>
        <w:rPr>
          <w:rFonts w:ascii="仿宋_GB2312" w:eastAsia="仿宋_GB2312" w:hAnsi="仿宋_GB2312" w:cs="仿宋_GB2312"/>
          <w:color w:val="000000" w:themeColor="text1"/>
          <w:kern w:val="0"/>
          <w:sz w:val="24"/>
          <w:szCs w:val="24"/>
        </w:rPr>
        <w:t xml:space="preserve">7：00—9：00    午餐11：00—13：00    晚餐17：00—19：00   </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夜宵</w:t>
      </w:r>
      <w:r>
        <w:rPr>
          <w:rFonts w:ascii="仿宋_GB2312" w:eastAsia="仿宋_GB2312" w:hAnsi="仿宋_GB2312" w:cs="仿宋_GB2312"/>
          <w:color w:val="000000" w:themeColor="text1"/>
          <w:kern w:val="0"/>
          <w:sz w:val="24"/>
          <w:szCs w:val="24"/>
        </w:rPr>
        <w:t>19：00—10：30</w:t>
      </w:r>
    </w:p>
    <w:p w:rsidR="00E37845" w:rsidRDefault="00E37845">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菊苑餐厅</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一楼大众伙食及风味特色  二楼大众伙食</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早餐</w:t>
      </w:r>
      <w:r>
        <w:rPr>
          <w:rFonts w:ascii="仿宋_GB2312" w:eastAsia="仿宋_GB2312" w:hAnsi="仿宋_GB2312" w:cs="仿宋_GB2312"/>
          <w:color w:val="000000" w:themeColor="text1"/>
          <w:kern w:val="0"/>
          <w:sz w:val="24"/>
          <w:szCs w:val="24"/>
        </w:rPr>
        <w:t xml:space="preserve">7：00—9：00    </w:t>
      </w:r>
      <w:r>
        <w:rPr>
          <w:rFonts w:ascii="仿宋_GB2312" w:eastAsia="仿宋_GB2312" w:hAnsi="仿宋_GB2312" w:cs="仿宋_GB2312" w:hint="eastAsia"/>
          <w:color w:val="000000" w:themeColor="text1"/>
          <w:kern w:val="0"/>
          <w:sz w:val="24"/>
          <w:szCs w:val="24"/>
        </w:rPr>
        <w:t>午餐</w:t>
      </w:r>
      <w:r>
        <w:rPr>
          <w:rFonts w:ascii="仿宋_GB2312" w:eastAsia="仿宋_GB2312" w:hAnsi="仿宋_GB2312" w:cs="仿宋_GB2312"/>
          <w:color w:val="000000" w:themeColor="text1"/>
          <w:kern w:val="0"/>
          <w:sz w:val="24"/>
          <w:szCs w:val="24"/>
        </w:rPr>
        <w:t xml:space="preserve">11：00—13：00    </w:t>
      </w:r>
      <w:r>
        <w:rPr>
          <w:rFonts w:ascii="仿宋_GB2312" w:eastAsia="仿宋_GB2312" w:hAnsi="仿宋_GB2312" w:cs="仿宋_GB2312" w:hint="eastAsia"/>
          <w:color w:val="000000" w:themeColor="text1"/>
          <w:kern w:val="0"/>
          <w:sz w:val="24"/>
          <w:szCs w:val="24"/>
        </w:rPr>
        <w:t>晚餐</w:t>
      </w:r>
      <w:r>
        <w:rPr>
          <w:rFonts w:ascii="仿宋_GB2312" w:eastAsia="仿宋_GB2312" w:hAnsi="仿宋_GB2312" w:cs="仿宋_GB2312"/>
          <w:color w:val="000000" w:themeColor="text1"/>
          <w:kern w:val="0"/>
          <w:sz w:val="24"/>
          <w:szCs w:val="24"/>
        </w:rPr>
        <w:t>17：00—19：00</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夜宵</w:t>
      </w:r>
      <w:r>
        <w:rPr>
          <w:rFonts w:ascii="仿宋_GB2312" w:eastAsia="仿宋_GB2312" w:hAnsi="仿宋_GB2312" w:cs="仿宋_GB2312"/>
          <w:color w:val="000000" w:themeColor="text1"/>
          <w:kern w:val="0"/>
          <w:sz w:val="24"/>
          <w:szCs w:val="24"/>
        </w:rPr>
        <w:t>19：00—10：30</w:t>
      </w:r>
    </w:p>
    <w:p w:rsidR="00E37845" w:rsidRDefault="00E37845">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竹苑餐厅（教工餐厅）</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早餐</w:t>
      </w:r>
      <w:r>
        <w:rPr>
          <w:rFonts w:ascii="仿宋_GB2312" w:eastAsia="仿宋_GB2312" w:hAnsi="仿宋_GB2312" w:cs="仿宋_GB2312"/>
          <w:color w:val="000000" w:themeColor="text1"/>
          <w:kern w:val="0"/>
          <w:sz w:val="24"/>
          <w:szCs w:val="24"/>
        </w:rPr>
        <w:t xml:space="preserve">7：00—9：00    </w:t>
      </w:r>
      <w:r>
        <w:rPr>
          <w:rFonts w:ascii="仿宋_GB2312" w:eastAsia="仿宋_GB2312" w:hAnsi="仿宋_GB2312" w:cs="仿宋_GB2312" w:hint="eastAsia"/>
          <w:color w:val="000000" w:themeColor="text1"/>
          <w:kern w:val="0"/>
          <w:sz w:val="24"/>
          <w:szCs w:val="24"/>
        </w:rPr>
        <w:t>午餐</w:t>
      </w:r>
      <w:r>
        <w:rPr>
          <w:rFonts w:ascii="仿宋_GB2312" w:eastAsia="仿宋_GB2312" w:hAnsi="仿宋_GB2312" w:cs="仿宋_GB2312"/>
          <w:color w:val="000000" w:themeColor="text1"/>
          <w:kern w:val="0"/>
          <w:sz w:val="24"/>
          <w:szCs w:val="24"/>
        </w:rPr>
        <w:t xml:space="preserve">11：00—13：00    </w:t>
      </w:r>
      <w:r>
        <w:rPr>
          <w:rFonts w:ascii="仿宋_GB2312" w:eastAsia="仿宋_GB2312" w:hAnsi="仿宋_GB2312" w:cs="仿宋_GB2312" w:hint="eastAsia"/>
          <w:color w:val="000000" w:themeColor="text1"/>
          <w:kern w:val="0"/>
          <w:sz w:val="24"/>
          <w:szCs w:val="24"/>
        </w:rPr>
        <w:t>晚餐</w:t>
      </w:r>
      <w:r>
        <w:rPr>
          <w:rFonts w:ascii="仿宋_GB2312" w:eastAsia="仿宋_GB2312" w:hAnsi="仿宋_GB2312" w:cs="仿宋_GB2312"/>
          <w:color w:val="000000" w:themeColor="text1"/>
          <w:kern w:val="0"/>
          <w:sz w:val="24"/>
          <w:szCs w:val="24"/>
        </w:rPr>
        <w:t>17：00—19：00</w:t>
      </w:r>
    </w:p>
    <w:p w:rsidR="00E37845" w:rsidRDefault="00E37845">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lastRenderedPageBreak/>
        <w:t>粤园餐厅（菊苑三楼）</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午餐</w:t>
      </w:r>
      <w:r>
        <w:rPr>
          <w:rFonts w:ascii="仿宋_GB2312" w:eastAsia="仿宋_GB2312" w:hAnsi="仿宋_GB2312" w:cs="仿宋_GB2312"/>
          <w:color w:val="000000" w:themeColor="text1"/>
          <w:kern w:val="0"/>
          <w:sz w:val="24"/>
          <w:szCs w:val="24"/>
        </w:rPr>
        <w:t xml:space="preserve">11：00—14：00    </w:t>
      </w:r>
      <w:r>
        <w:rPr>
          <w:rFonts w:ascii="仿宋_GB2312" w:eastAsia="仿宋_GB2312" w:hAnsi="仿宋_GB2312" w:cs="仿宋_GB2312" w:hint="eastAsia"/>
          <w:color w:val="000000" w:themeColor="text1"/>
          <w:kern w:val="0"/>
          <w:sz w:val="24"/>
          <w:szCs w:val="24"/>
        </w:rPr>
        <w:t>晚餐</w:t>
      </w:r>
      <w:r>
        <w:rPr>
          <w:rFonts w:ascii="仿宋_GB2312" w:eastAsia="仿宋_GB2312" w:hAnsi="仿宋_GB2312" w:cs="仿宋_GB2312"/>
          <w:color w:val="000000" w:themeColor="text1"/>
          <w:kern w:val="0"/>
          <w:sz w:val="24"/>
          <w:szCs w:val="24"/>
        </w:rPr>
        <w:t>17：00—20：00</w:t>
      </w:r>
    </w:p>
    <w:p w:rsidR="00E37845" w:rsidRDefault="00E37845">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桂花岗食堂</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一楼风味套餐二楼大众伙食</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早餐</w:t>
      </w:r>
      <w:r>
        <w:rPr>
          <w:rFonts w:ascii="仿宋_GB2312" w:eastAsia="仿宋_GB2312" w:hAnsi="仿宋_GB2312" w:cs="仿宋_GB2312"/>
          <w:color w:val="000000" w:themeColor="text1"/>
          <w:kern w:val="0"/>
          <w:sz w:val="24"/>
          <w:szCs w:val="24"/>
        </w:rPr>
        <w:t xml:space="preserve">7：00—9：00    </w:t>
      </w:r>
      <w:r>
        <w:rPr>
          <w:rFonts w:ascii="仿宋_GB2312" w:eastAsia="仿宋_GB2312" w:hAnsi="仿宋_GB2312" w:cs="仿宋_GB2312" w:hint="eastAsia"/>
          <w:color w:val="000000" w:themeColor="text1"/>
          <w:kern w:val="0"/>
          <w:sz w:val="24"/>
          <w:szCs w:val="24"/>
        </w:rPr>
        <w:t>午餐</w:t>
      </w:r>
      <w:r>
        <w:rPr>
          <w:rFonts w:ascii="仿宋_GB2312" w:eastAsia="仿宋_GB2312" w:hAnsi="仿宋_GB2312" w:cs="仿宋_GB2312"/>
          <w:color w:val="000000" w:themeColor="text1"/>
          <w:kern w:val="0"/>
          <w:sz w:val="24"/>
          <w:szCs w:val="24"/>
        </w:rPr>
        <w:t xml:space="preserve">11：00—13：00    </w:t>
      </w:r>
      <w:r>
        <w:rPr>
          <w:rFonts w:ascii="仿宋_GB2312" w:eastAsia="仿宋_GB2312" w:hAnsi="仿宋_GB2312" w:cs="仿宋_GB2312" w:hint="eastAsia"/>
          <w:color w:val="000000" w:themeColor="text1"/>
          <w:kern w:val="0"/>
          <w:sz w:val="24"/>
          <w:szCs w:val="24"/>
        </w:rPr>
        <w:t>晚餐</w:t>
      </w:r>
      <w:r>
        <w:rPr>
          <w:rFonts w:ascii="仿宋_GB2312" w:eastAsia="仿宋_GB2312" w:hAnsi="仿宋_GB2312" w:cs="仿宋_GB2312"/>
          <w:color w:val="000000" w:themeColor="text1"/>
          <w:kern w:val="0"/>
          <w:sz w:val="24"/>
          <w:szCs w:val="24"/>
        </w:rPr>
        <w:t>17：00—19：00</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夜宵</w:t>
      </w:r>
      <w:r>
        <w:rPr>
          <w:rFonts w:ascii="仿宋_GB2312" w:eastAsia="仿宋_GB2312" w:hAnsi="仿宋_GB2312" w:cs="仿宋_GB2312"/>
          <w:color w:val="000000" w:themeColor="text1"/>
          <w:kern w:val="0"/>
          <w:sz w:val="24"/>
          <w:szCs w:val="24"/>
        </w:rPr>
        <w:t>19：00—10：00</w:t>
      </w:r>
    </w:p>
    <w:p w:rsidR="00E37845" w:rsidRDefault="00E22BDD">
      <w:pPr>
        <w:autoSpaceDE w:val="0"/>
        <w:autoSpaceDN w:val="0"/>
        <w:adjustRightInd w:val="0"/>
        <w:snapToGrid w:val="0"/>
        <w:spacing w:beforeLines="50" w:before="156" w:afterLines="50" w:after="156" w:line="360" w:lineRule="auto"/>
        <w:ind w:firstLineChars="200" w:firstLine="482"/>
        <w:jc w:val="left"/>
        <w:rPr>
          <w:rFonts w:ascii="黑体" w:eastAsia="黑体" w:hAnsi="黑体" w:cs="黑体"/>
          <w:color w:val="000000" w:themeColor="text1"/>
          <w:kern w:val="0"/>
          <w:sz w:val="24"/>
          <w:szCs w:val="24"/>
        </w:rPr>
      </w:pPr>
      <w:r>
        <w:rPr>
          <w:rFonts w:ascii="黑体" w:eastAsia="黑体" w:hAnsi="黑体" w:cs="黑体" w:hint="eastAsia"/>
          <w:b/>
          <w:bCs/>
          <w:color w:val="000000" w:themeColor="text1"/>
          <w:kern w:val="0"/>
          <w:sz w:val="24"/>
          <w:szCs w:val="24"/>
        </w:rPr>
        <w:t>二、附近酒店宾馆地址及联系电话</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广州大学招待所</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地址：广州大学大学城校区生活区榕轩</w:t>
      </w:r>
      <w:r>
        <w:rPr>
          <w:rFonts w:ascii="仿宋_GB2312" w:eastAsia="仿宋_GB2312" w:hAnsi="仿宋_GB2312" w:cs="仿宋_GB2312"/>
          <w:color w:val="000000" w:themeColor="text1"/>
          <w:kern w:val="0"/>
          <w:sz w:val="24"/>
          <w:szCs w:val="24"/>
        </w:rPr>
        <w:t>2栋</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电话：</w:t>
      </w:r>
      <w:r>
        <w:rPr>
          <w:rFonts w:ascii="仿宋_GB2312" w:eastAsia="仿宋_GB2312" w:hAnsi="仿宋_GB2312" w:cs="仿宋_GB2312"/>
          <w:color w:val="000000" w:themeColor="text1"/>
          <w:sz w:val="24"/>
          <w:szCs w:val="24"/>
        </w:rPr>
        <w:t>020-</w:t>
      </w:r>
      <w:r>
        <w:rPr>
          <w:rFonts w:ascii="仿宋_GB2312" w:eastAsia="仿宋_GB2312" w:hAnsi="仿宋_GB2312" w:cs="仿宋_GB2312"/>
          <w:color w:val="000000" w:themeColor="text1"/>
          <w:kern w:val="0"/>
          <w:sz w:val="24"/>
          <w:szCs w:val="24"/>
        </w:rPr>
        <w:t>39366160</w:t>
      </w:r>
    </w:p>
    <w:p w:rsidR="00E37845" w:rsidRDefault="00E37845">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广大商务酒店</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kern w:val="0"/>
          <w:sz w:val="24"/>
          <w:szCs w:val="24"/>
        </w:rPr>
        <w:t>地址：</w:t>
      </w:r>
      <w:r>
        <w:rPr>
          <w:rFonts w:ascii="仿宋_GB2312" w:eastAsia="仿宋_GB2312" w:hAnsi="仿宋_GB2312" w:cs="仿宋_GB2312" w:hint="eastAsia"/>
          <w:color w:val="000000" w:themeColor="text1"/>
          <w:sz w:val="24"/>
          <w:szCs w:val="24"/>
        </w:rPr>
        <w:t>广州大学城中环西路</w:t>
      </w:r>
      <w:r>
        <w:rPr>
          <w:rFonts w:ascii="仿宋_GB2312" w:eastAsia="仿宋_GB2312" w:hAnsi="仿宋_GB2312" w:cs="仿宋_GB2312"/>
          <w:color w:val="000000" w:themeColor="text1"/>
          <w:sz w:val="24"/>
          <w:szCs w:val="24"/>
        </w:rPr>
        <w:t>230号</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kern w:val="0"/>
          <w:sz w:val="24"/>
          <w:szCs w:val="24"/>
        </w:rPr>
        <w:t>电话：</w:t>
      </w:r>
      <w:r>
        <w:rPr>
          <w:rFonts w:ascii="仿宋_GB2312" w:eastAsia="仿宋_GB2312" w:hAnsi="仿宋_GB2312" w:cs="仿宋_GB2312"/>
          <w:color w:val="000000" w:themeColor="text1"/>
          <w:sz w:val="24"/>
          <w:szCs w:val="24"/>
        </w:rPr>
        <w:t>020-39360988</w:t>
      </w:r>
    </w:p>
    <w:p w:rsidR="00E37845" w:rsidRDefault="00E37845">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广州大学国际学术交流中心酒店</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地址：广州市白云区桂花路</w:t>
      </w:r>
      <w:r>
        <w:rPr>
          <w:rFonts w:ascii="仿宋_GB2312" w:eastAsia="仿宋_GB2312" w:hAnsi="仿宋_GB2312" w:cs="仿宋_GB2312"/>
          <w:color w:val="000000" w:themeColor="text1"/>
          <w:sz w:val="24"/>
          <w:szCs w:val="24"/>
        </w:rPr>
        <w:t>23号</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电话：</w:t>
      </w:r>
      <w:r>
        <w:rPr>
          <w:rFonts w:ascii="仿宋_GB2312" w:eastAsia="仿宋_GB2312" w:hAnsi="仿宋_GB2312" w:cs="仿宋_GB2312"/>
          <w:color w:val="000000" w:themeColor="text1"/>
          <w:sz w:val="24"/>
          <w:szCs w:val="24"/>
        </w:rPr>
        <w:t>020-86230001</w:t>
      </w:r>
    </w:p>
    <w:p w:rsidR="00E37845" w:rsidRDefault="00E37845">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雅乐轩酒店（大学城）</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地址：广州市番禺区小谷围街立德街</w:t>
      </w:r>
      <w:r>
        <w:rPr>
          <w:rFonts w:ascii="仿宋_GB2312" w:eastAsia="仿宋_GB2312" w:hAnsi="仿宋_GB2312" w:cs="仿宋_GB2312"/>
          <w:color w:val="000000" w:themeColor="text1"/>
          <w:sz w:val="24"/>
          <w:szCs w:val="24"/>
        </w:rPr>
        <w:t>66号</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sz w:val="24"/>
          <w:szCs w:val="24"/>
        </w:rPr>
        <w:t>电话：</w:t>
      </w:r>
      <w:r>
        <w:rPr>
          <w:rFonts w:ascii="仿宋_GB2312" w:eastAsia="仿宋_GB2312" w:hAnsi="仿宋_GB2312" w:cs="仿宋_GB2312"/>
          <w:color w:val="000000" w:themeColor="text1"/>
          <w:sz w:val="24"/>
          <w:szCs w:val="24"/>
        </w:rPr>
        <w:t>020-31000888</w:t>
      </w:r>
    </w:p>
    <w:p w:rsidR="00E37845" w:rsidRDefault="00E22BDD">
      <w:pPr>
        <w:autoSpaceDE w:val="0"/>
        <w:autoSpaceDN w:val="0"/>
        <w:adjustRightInd w:val="0"/>
        <w:snapToGrid w:val="0"/>
        <w:spacing w:line="360" w:lineRule="auto"/>
        <w:ind w:firstLineChars="200" w:firstLine="480"/>
        <w:jc w:val="left"/>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br w:type="page"/>
      </w: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3382" w:name="_Toc933"/>
      <w:bookmarkStart w:id="3383" w:name="_Toc13590"/>
      <w:bookmarkStart w:id="3384" w:name="_Toc19950"/>
      <w:bookmarkStart w:id="3385" w:name="_Toc21094"/>
      <w:bookmarkStart w:id="3386" w:name="_Toc912"/>
      <w:bookmarkStart w:id="3387" w:name="_Toc26281"/>
      <w:bookmarkStart w:id="3388" w:name="_Toc4996"/>
      <w:bookmarkStart w:id="3389" w:name="_Toc519781063"/>
      <w:bookmarkStart w:id="3390" w:name="_Toc1219"/>
      <w:bookmarkStart w:id="3391" w:name="_Toc26313"/>
      <w:bookmarkStart w:id="3392" w:name="_Toc4417"/>
      <w:bookmarkStart w:id="3393" w:name="_Toc12696"/>
      <w:bookmarkStart w:id="3394" w:name="_Toc10742"/>
      <w:bookmarkStart w:id="3395" w:name="_Toc23674"/>
      <w:bookmarkStart w:id="3396" w:name="_Toc11317"/>
      <w:bookmarkStart w:id="3397" w:name="_Toc1474"/>
      <w:bookmarkStart w:id="3398" w:name="_Toc12987"/>
      <w:bookmarkStart w:id="3399" w:name="_Toc11020"/>
      <w:bookmarkStart w:id="3400" w:name="_Toc14557"/>
      <w:bookmarkStart w:id="3401" w:name="_Toc22339"/>
      <w:bookmarkStart w:id="3402" w:name="_Toc20516"/>
      <w:bookmarkStart w:id="3403" w:name="_Toc7753"/>
      <w:bookmarkStart w:id="3404" w:name="_Toc22666"/>
      <w:bookmarkStart w:id="3405" w:name="_Toc26869"/>
      <w:bookmarkStart w:id="3406" w:name="_Toc9199"/>
      <w:bookmarkStart w:id="3407" w:name="_Toc31814"/>
      <w:r>
        <w:rPr>
          <w:rFonts w:ascii="黑体" w:eastAsia="黑体" w:hAnsi="黑体" w:cs="黑体" w:hint="eastAsia"/>
          <w:color w:val="000000" w:themeColor="text1"/>
          <w:sz w:val="28"/>
          <w:szCs w:val="28"/>
        </w:rPr>
        <w:lastRenderedPageBreak/>
        <w:t>11.4.6后勤服务处服务热线</w:t>
      </w:r>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p>
    <w:tbl>
      <w:tblPr>
        <w:tblW w:w="8440" w:type="dxa"/>
        <w:jc w:val="center"/>
        <w:tblLayout w:type="fixed"/>
        <w:tblLook w:val="04A0" w:firstRow="1" w:lastRow="0" w:firstColumn="1" w:lastColumn="0" w:noHBand="0" w:noVBand="1"/>
      </w:tblPr>
      <w:tblGrid>
        <w:gridCol w:w="653"/>
        <w:gridCol w:w="1979"/>
        <w:gridCol w:w="1901"/>
        <w:gridCol w:w="3907"/>
      </w:tblGrid>
      <w:tr w:rsidR="00E37845">
        <w:trPr>
          <w:trHeight w:val="860"/>
          <w:jc w:val="center"/>
        </w:trPr>
        <w:tc>
          <w:tcPr>
            <w:tcW w:w="8440" w:type="dxa"/>
            <w:gridSpan w:val="4"/>
            <w:tcBorders>
              <w:top w:val="nil"/>
              <w:left w:val="nil"/>
              <w:bottom w:val="single" w:sz="4" w:space="0" w:color="auto"/>
              <w:right w:val="nil"/>
            </w:tcBorders>
            <w:tcMar>
              <w:top w:w="15" w:type="dxa"/>
              <w:left w:w="15" w:type="dxa"/>
              <w:bottom w:w="15" w:type="dxa"/>
              <w:right w:w="15" w:type="dxa"/>
            </w:tcMar>
            <w:vAlign w:val="center"/>
          </w:tcPr>
          <w:p w:rsidR="00E37845" w:rsidRDefault="00E22BDD">
            <w:pPr>
              <w:widowControl/>
              <w:adjustRightInd w:val="0"/>
              <w:snapToGrid w:val="0"/>
              <w:spacing w:line="360" w:lineRule="auto"/>
              <w:ind w:firstLineChars="200" w:firstLine="560"/>
              <w:jc w:val="center"/>
              <w:textAlignment w:val="center"/>
              <w:rPr>
                <w:rFonts w:ascii="黑体" w:eastAsia="黑体" w:hAnsi="黑体" w:cs="仿宋_GB2312"/>
                <w:color w:val="000000" w:themeColor="text1"/>
                <w:sz w:val="24"/>
                <w:szCs w:val="24"/>
              </w:rPr>
            </w:pPr>
            <w:r>
              <w:rPr>
                <w:rFonts w:ascii="黑体" w:eastAsia="黑体" w:hAnsi="黑体" w:cs="方正大标宋简体" w:hint="eastAsia"/>
                <w:color w:val="000000" w:themeColor="text1"/>
                <w:kern w:val="0"/>
                <w:sz w:val="28"/>
                <w:szCs w:val="28"/>
              </w:rPr>
              <w:t>后勤服务处服务热线电话</w:t>
            </w:r>
          </w:p>
        </w:tc>
      </w:tr>
      <w:tr w:rsidR="00E37845">
        <w:trPr>
          <w:trHeight w:val="570"/>
          <w:jc w:val="center"/>
        </w:trPr>
        <w:tc>
          <w:tcPr>
            <w:tcW w:w="2632"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vAlign w:val="center"/>
          </w:tcPr>
          <w:p w:rsidR="00E37845" w:rsidRDefault="00E22BDD">
            <w:pPr>
              <w:widowControl/>
              <w:adjustRightInd w:val="0"/>
              <w:snapToGrid w:val="0"/>
              <w:spacing w:beforeLines="50" w:before="156" w:line="360" w:lineRule="auto"/>
              <w:jc w:val="center"/>
              <w:textAlignment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kern w:val="0"/>
                <w:sz w:val="24"/>
                <w:szCs w:val="24"/>
              </w:rPr>
              <w:t>事项</w:t>
            </w:r>
          </w:p>
        </w:tc>
        <w:tc>
          <w:tcPr>
            <w:tcW w:w="190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rsidR="00E37845" w:rsidRDefault="00E22BDD">
            <w:pPr>
              <w:widowControl/>
              <w:adjustRightInd w:val="0"/>
              <w:snapToGrid w:val="0"/>
              <w:spacing w:beforeLines="50" w:before="156" w:line="360" w:lineRule="auto"/>
              <w:jc w:val="center"/>
              <w:textAlignment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kern w:val="0"/>
                <w:sz w:val="24"/>
                <w:szCs w:val="24"/>
              </w:rPr>
              <w:t>电话</w:t>
            </w:r>
          </w:p>
        </w:tc>
        <w:tc>
          <w:tcPr>
            <w:tcW w:w="3907"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vAlign w:val="center"/>
          </w:tcPr>
          <w:p w:rsidR="00E37845" w:rsidRDefault="00E22BDD">
            <w:pPr>
              <w:widowControl/>
              <w:adjustRightInd w:val="0"/>
              <w:snapToGrid w:val="0"/>
              <w:spacing w:beforeLines="50" w:before="156" w:line="360" w:lineRule="auto"/>
              <w:jc w:val="center"/>
              <w:textAlignment w:val="center"/>
              <w:rPr>
                <w:rFonts w:ascii="仿宋_GB2312" w:eastAsia="仿宋_GB2312" w:hAnsi="仿宋_GB2312" w:cs="仿宋_GB2312"/>
                <w:b/>
                <w:bCs/>
                <w:color w:val="000000" w:themeColor="text1"/>
                <w:sz w:val="24"/>
                <w:szCs w:val="24"/>
              </w:rPr>
            </w:pPr>
            <w:r>
              <w:rPr>
                <w:rFonts w:ascii="仿宋_GB2312" w:eastAsia="仿宋_GB2312" w:hAnsi="仿宋_GB2312" w:cs="仿宋_GB2312" w:hint="eastAsia"/>
                <w:b/>
                <w:bCs/>
                <w:color w:val="000000" w:themeColor="text1"/>
                <w:kern w:val="0"/>
                <w:sz w:val="24"/>
                <w:szCs w:val="24"/>
              </w:rPr>
              <w:t>备注</w:t>
            </w:r>
          </w:p>
        </w:tc>
      </w:tr>
      <w:tr w:rsidR="00E37845">
        <w:trPr>
          <w:trHeight w:val="600"/>
          <w:jc w:val="center"/>
        </w:trPr>
        <w:tc>
          <w:tcPr>
            <w:tcW w:w="65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22BDD">
            <w:pPr>
              <w:widowControl/>
              <w:adjustRightInd w:val="0"/>
              <w:snapToGrid w:val="0"/>
              <w:spacing w:line="360" w:lineRule="auto"/>
              <w:textAlignment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水电</w:t>
            </w:r>
          </w:p>
          <w:p w:rsidR="00E37845" w:rsidRDefault="00E22BDD">
            <w:pPr>
              <w:widowControl/>
              <w:adjustRightInd w:val="0"/>
              <w:snapToGrid w:val="0"/>
              <w:spacing w:line="360" w:lineRule="auto"/>
              <w:textAlignment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kern w:val="0"/>
                <w:sz w:val="24"/>
                <w:szCs w:val="24"/>
              </w:rPr>
              <w:t>报修</w:t>
            </w:r>
          </w:p>
        </w:tc>
        <w:tc>
          <w:tcPr>
            <w:tcW w:w="19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22BDD">
            <w:pPr>
              <w:widowControl/>
              <w:adjustRightInd w:val="0"/>
              <w:snapToGrid w:val="0"/>
              <w:spacing w:line="360" w:lineRule="auto"/>
              <w:ind w:firstLineChars="200" w:firstLine="480"/>
              <w:textAlignment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kern w:val="0"/>
                <w:sz w:val="24"/>
                <w:szCs w:val="24"/>
              </w:rPr>
              <w:t>大学城校区</w:t>
            </w:r>
          </w:p>
        </w:tc>
        <w:tc>
          <w:tcPr>
            <w:tcW w:w="19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22BDD">
            <w:pPr>
              <w:widowControl/>
              <w:adjustRightInd w:val="0"/>
              <w:snapToGrid w:val="0"/>
              <w:spacing w:line="360" w:lineRule="auto"/>
              <w:jc w:val="center"/>
              <w:textAlignment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kern w:val="0"/>
                <w:sz w:val="24"/>
                <w:szCs w:val="24"/>
              </w:rPr>
              <w:t>39366587</w:t>
            </w:r>
          </w:p>
        </w:tc>
        <w:tc>
          <w:tcPr>
            <w:tcW w:w="39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22BDD">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24小时值班</w:t>
            </w:r>
          </w:p>
        </w:tc>
      </w:tr>
      <w:tr w:rsidR="00E37845">
        <w:trPr>
          <w:trHeight w:val="600"/>
          <w:jc w:val="center"/>
        </w:trPr>
        <w:tc>
          <w:tcPr>
            <w:tcW w:w="653" w:type="dxa"/>
            <w:vMerge/>
            <w:tcBorders>
              <w:top w:val="single" w:sz="4" w:space="0" w:color="000000"/>
              <w:left w:val="single" w:sz="4" w:space="0" w:color="000000"/>
              <w:bottom w:val="single" w:sz="4" w:space="0" w:color="000000"/>
              <w:right w:val="single" w:sz="4" w:space="0" w:color="000000"/>
            </w:tcBorders>
            <w:vAlign w:val="center"/>
          </w:tcPr>
          <w:p w:rsidR="00E37845" w:rsidRDefault="00E37845">
            <w:pPr>
              <w:widowControl/>
              <w:adjustRightInd w:val="0"/>
              <w:snapToGrid w:val="0"/>
              <w:spacing w:line="360" w:lineRule="auto"/>
              <w:ind w:firstLineChars="200" w:firstLine="480"/>
              <w:jc w:val="center"/>
              <w:outlineLvl w:val="0"/>
              <w:rPr>
                <w:rFonts w:ascii="仿宋_GB2312" w:eastAsia="仿宋_GB2312" w:hAnsi="仿宋_GB2312" w:cs="仿宋_GB2312"/>
                <w:color w:val="000000" w:themeColor="text1"/>
                <w:sz w:val="24"/>
                <w:szCs w:val="24"/>
              </w:rPr>
            </w:pPr>
          </w:p>
        </w:tc>
        <w:tc>
          <w:tcPr>
            <w:tcW w:w="197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22BDD">
            <w:pPr>
              <w:widowControl/>
              <w:adjustRightInd w:val="0"/>
              <w:snapToGrid w:val="0"/>
              <w:spacing w:line="360" w:lineRule="auto"/>
              <w:ind w:firstLineChars="200" w:firstLine="480"/>
              <w:textAlignment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kern w:val="0"/>
                <w:sz w:val="24"/>
                <w:szCs w:val="24"/>
              </w:rPr>
              <w:t>桂花岗校区</w:t>
            </w:r>
          </w:p>
        </w:tc>
        <w:tc>
          <w:tcPr>
            <w:tcW w:w="19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22BDD">
            <w:pPr>
              <w:widowControl/>
              <w:adjustRightInd w:val="0"/>
              <w:snapToGrid w:val="0"/>
              <w:spacing w:line="360" w:lineRule="auto"/>
              <w:jc w:val="center"/>
              <w:textAlignment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kern w:val="0"/>
                <w:sz w:val="24"/>
                <w:szCs w:val="24"/>
              </w:rPr>
              <w:t>86237448</w:t>
            </w:r>
          </w:p>
        </w:tc>
        <w:tc>
          <w:tcPr>
            <w:tcW w:w="39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22BDD">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sz w:val="24"/>
                <w:szCs w:val="24"/>
              </w:rPr>
              <w:t>24小时值班</w:t>
            </w:r>
          </w:p>
        </w:tc>
      </w:tr>
      <w:tr w:rsidR="00E37845">
        <w:trPr>
          <w:trHeight w:val="612"/>
          <w:jc w:val="center"/>
        </w:trPr>
        <w:tc>
          <w:tcPr>
            <w:tcW w:w="263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22BDD">
            <w:pPr>
              <w:widowControl/>
              <w:adjustRightInd w:val="0"/>
              <w:snapToGrid w:val="0"/>
              <w:spacing w:line="360" w:lineRule="auto"/>
              <w:ind w:firstLineChars="200" w:firstLine="480"/>
              <w:jc w:val="center"/>
              <w:textAlignment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工程维修</w:t>
            </w:r>
          </w:p>
        </w:tc>
        <w:tc>
          <w:tcPr>
            <w:tcW w:w="19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22BDD">
            <w:pPr>
              <w:widowControl/>
              <w:adjustRightInd w:val="0"/>
              <w:snapToGrid w:val="0"/>
              <w:spacing w:line="360" w:lineRule="auto"/>
              <w:jc w:val="center"/>
              <w:textAlignment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39366248</w:t>
            </w:r>
          </w:p>
        </w:tc>
        <w:tc>
          <w:tcPr>
            <w:tcW w:w="39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37845">
            <w:pPr>
              <w:widowControl/>
              <w:adjustRightInd w:val="0"/>
              <w:snapToGrid w:val="0"/>
              <w:spacing w:line="360" w:lineRule="auto"/>
              <w:ind w:firstLineChars="200" w:firstLine="480"/>
              <w:jc w:val="center"/>
              <w:textAlignment w:val="center"/>
              <w:rPr>
                <w:rStyle w:val="font111"/>
                <w:rFonts w:ascii="仿宋_GB2312" w:eastAsia="仿宋_GB2312" w:hAnsi="仿宋_GB2312" w:cs="仿宋_GB2312" w:hint="default"/>
                <w:color w:val="000000" w:themeColor="text1"/>
              </w:rPr>
            </w:pPr>
          </w:p>
        </w:tc>
      </w:tr>
      <w:tr w:rsidR="00E37845">
        <w:trPr>
          <w:trHeight w:val="1412"/>
          <w:jc w:val="center"/>
        </w:trPr>
        <w:tc>
          <w:tcPr>
            <w:tcW w:w="263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22BDD">
            <w:pPr>
              <w:widowControl/>
              <w:adjustRightInd w:val="0"/>
              <w:snapToGrid w:val="0"/>
              <w:spacing w:line="360" w:lineRule="auto"/>
              <w:ind w:firstLineChars="200" w:firstLine="480"/>
              <w:jc w:val="center"/>
              <w:textAlignment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kern w:val="0"/>
                <w:sz w:val="24"/>
                <w:szCs w:val="24"/>
              </w:rPr>
              <w:t>电梯故障</w:t>
            </w:r>
          </w:p>
        </w:tc>
        <w:tc>
          <w:tcPr>
            <w:tcW w:w="19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22BDD">
            <w:pPr>
              <w:widowControl/>
              <w:adjustRightInd w:val="0"/>
              <w:snapToGrid w:val="0"/>
              <w:spacing w:line="360" w:lineRule="auto"/>
              <w:jc w:val="center"/>
              <w:textAlignment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kern w:val="0"/>
                <w:sz w:val="24"/>
                <w:szCs w:val="24"/>
              </w:rPr>
              <w:t>39366587</w:t>
            </w:r>
          </w:p>
        </w:tc>
        <w:tc>
          <w:tcPr>
            <w:tcW w:w="39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22BDD">
            <w:pPr>
              <w:widowControl/>
              <w:adjustRightInd w:val="0"/>
              <w:snapToGrid w:val="0"/>
              <w:spacing w:line="360" w:lineRule="auto"/>
              <w:ind w:firstLineChars="200" w:firstLine="480"/>
              <w:jc w:val="left"/>
              <w:textAlignment w:val="center"/>
              <w:rPr>
                <w:rFonts w:ascii="仿宋_GB2312" w:eastAsia="仿宋_GB2312" w:hAnsi="仿宋_GB2312" w:cs="仿宋_GB2312"/>
                <w:color w:val="000000" w:themeColor="text1"/>
                <w:sz w:val="24"/>
                <w:szCs w:val="24"/>
              </w:rPr>
            </w:pPr>
            <w:r>
              <w:rPr>
                <w:rStyle w:val="font111"/>
                <w:rFonts w:ascii="仿宋_GB2312" w:eastAsia="仿宋_GB2312" w:hAnsi="仿宋_GB2312" w:cs="仿宋_GB2312" w:hint="default"/>
                <w:color w:val="000000" w:themeColor="text1"/>
              </w:rPr>
              <w:t>乘客可通过电梯轿箱内的电话拨打校内</w:t>
            </w:r>
            <w:r>
              <w:rPr>
                <w:rFonts w:ascii="仿宋_GB2312" w:eastAsia="仿宋_GB2312" w:hAnsi="仿宋_GB2312" w:cs="仿宋_GB2312"/>
                <w:color w:val="000000" w:themeColor="text1"/>
                <w:kern w:val="0"/>
                <w:sz w:val="24"/>
                <w:szCs w:val="24"/>
              </w:rPr>
              <w:t>24</w:t>
            </w:r>
            <w:r>
              <w:rPr>
                <w:rStyle w:val="font111"/>
                <w:rFonts w:ascii="仿宋_GB2312" w:eastAsia="仿宋_GB2312" w:hAnsi="仿宋_GB2312" w:cs="仿宋_GB2312" w:hint="default"/>
                <w:color w:val="000000" w:themeColor="text1"/>
              </w:rPr>
              <w:t>小时救援电话</w:t>
            </w:r>
            <w:r>
              <w:rPr>
                <w:rFonts w:ascii="仿宋_GB2312" w:eastAsia="仿宋_GB2312" w:hAnsi="仿宋_GB2312" w:cs="仿宋_GB2312"/>
                <w:color w:val="000000" w:themeColor="text1"/>
                <w:kern w:val="0"/>
                <w:sz w:val="24"/>
                <w:szCs w:val="24"/>
              </w:rPr>
              <w:t>66587&lt;</w:t>
            </w:r>
            <w:r>
              <w:rPr>
                <w:rStyle w:val="font111"/>
                <w:rFonts w:ascii="仿宋_GB2312" w:eastAsia="仿宋_GB2312" w:hAnsi="仿宋_GB2312" w:cs="仿宋_GB2312" w:hint="default"/>
                <w:color w:val="000000" w:themeColor="text1"/>
              </w:rPr>
              <w:t>外来用户拔全号</w:t>
            </w:r>
            <w:r>
              <w:rPr>
                <w:rFonts w:ascii="仿宋_GB2312" w:eastAsia="仿宋_GB2312" w:hAnsi="仿宋_GB2312" w:cs="仿宋_GB2312"/>
                <w:color w:val="000000" w:themeColor="text1"/>
                <w:kern w:val="0"/>
                <w:sz w:val="24"/>
                <w:szCs w:val="24"/>
              </w:rPr>
              <w:t>39366587，</w:t>
            </w:r>
            <w:r>
              <w:rPr>
                <w:rStyle w:val="font111"/>
                <w:rFonts w:ascii="仿宋_GB2312" w:eastAsia="仿宋_GB2312" w:hAnsi="仿宋_GB2312" w:cs="仿宋_GB2312" w:hint="default"/>
                <w:color w:val="000000" w:themeColor="text1"/>
              </w:rPr>
              <w:t>上班时间也可拔打</w:t>
            </w:r>
            <w:r>
              <w:rPr>
                <w:rFonts w:ascii="仿宋_GB2312" w:eastAsia="仿宋_GB2312" w:hAnsi="仿宋_GB2312" w:cs="仿宋_GB2312"/>
                <w:color w:val="000000" w:themeColor="text1"/>
                <w:kern w:val="0"/>
                <w:sz w:val="24"/>
                <w:szCs w:val="24"/>
              </w:rPr>
              <w:t>39366588&gt;</w:t>
            </w:r>
            <w:r>
              <w:rPr>
                <w:rStyle w:val="font111"/>
                <w:rFonts w:ascii="仿宋_GB2312" w:eastAsia="仿宋_GB2312" w:hAnsi="仿宋_GB2312" w:cs="仿宋_GB2312" w:hint="default"/>
                <w:color w:val="000000" w:themeColor="text1"/>
              </w:rPr>
              <w:t>）等侯救援。</w:t>
            </w:r>
          </w:p>
        </w:tc>
      </w:tr>
      <w:tr w:rsidR="00E37845">
        <w:trPr>
          <w:trHeight w:val="600"/>
          <w:jc w:val="center"/>
        </w:trPr>
        <w:tc>
          <w:tcPr>
            <w:tcW w:w="263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22BDD">
            <w:pPr>
              <w:widowControl/>
              <w:adjustRightInd w:val="0"/>
              <w:snapToGrid w:val="0"/>
              <w:spacing w:line="360" w:lineRule="auto"/>
              <w:ind w:firstLineChars="200" w:firstLine="480"/>
              <w:jc w:val="center"/>
              <w:textAlignment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kern w:val="0"/>
                <w:sz w:val="24"/>
                <w:szCs w:val="24"/>
              </w:rPr>
              <w:t>公费医疗办理</w:t>
            </w:r>
          </w:p>
        </w:tc>
        <w:tc>
          <w:tcPr>
            <w:tcW w:w="19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22BDD">
            <w:pPr>
              <w:widowControl/>
              <w:adjustRightInd w:val="0"/>
              <w:snapToGrid w:val="0"/>
              <w:spacing w:line="360" w:lineRule="auto"/>
              <w:jc w:val="center"/>
              <w:textAlignment w:val="center"/>
              <w:rPr>
                <w:rStyle w:val="font121"/>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kern w:val="0"/>
                <w:sz w:val="24"/>
                <w:szCs w:val="24"/>
              </w:rPr>
              <w:t>39366552</w:t>
            </w:r>
            <w:r>
              <w:rPr>
                <w:rStyle w:val="font121"/>
                <w:rFonts w:ascii="仿宋_GB2312" w:eastAsia="仿宋_GB2312" w:hAnsi="仿宋_GB2312" w:cs="仿宋_GB2312" w:hint="eastAsia"/>
                <w:color w:val="000000" w:themeColor="text1"/>
                <w:sz w:val="24"/>
                <w:szCs w:val="24"/>
              </w:rPr>
              <w:t>；</w:t>
            </w:r>
          </w:p>
          <w:p w:rsidR="00E37845" w:rsidRDefault="00E22BDD">
            <w:pPr>
              <w:widowControl/>
              <w:adjustRightInd w:val="0"/>
              <w:snapToGrid w:val="0"/>
              <w:spacing w:line="360" w:lineRule="auto"/>
              <w:jc w:val="center"/>
              <w:textAlignment w:val="center"/>
              <w:rPr>
                <w:rFonts w:ascii="仿宋_GB2312" w:eastAsia="仿宋_GB2312" w:hAnsi="仿宋_GB2312" w:cs="仿宋_GB2312"/>
                <w:color w:val="000000" w:themeColor="text1"/>
                <w:sz w:val="24"/>
                <w:szCs w:val="24"/>
              </w:rPr>
            </w:pPr>
            <w:r>
              <w:rPr>
                <w:rFonts w:ascii="仿宋_GB2312" w:eastAsia="仿宋_GB2312" w:hAnsi="仿宋_GB2312" w:cs="仿宋_GB2312"/>
                <w:color w:val="000000" w:themeColor="text1"/>
                <w:kern w:val="0"/>
                <w:sz w:val="24"/>
                <w:szCs w:val="24"/>
              </w:rPr>
              <w:t>39366490</w:t>
            </w:r>
          </w:p>
        </w:tc>
        <w:tc>
          <w:tcPr>
            <w:tcW w:w="39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37845">
            <w:pPr>
              <w:adjustRightInd w:val="0"/>
              <w:snapToGrid w:val="0"/>
              <w:spacing w:line="360" w:lineRule="auto"/>
              <w:ind w:firstLineChars="200" w:firstLine="480"/>
              <w:jc w:val="center"/>
              <w:rPr>
                <w:rFonts w:ascii="仿宋_GB2312" w:eastAsia="仿宋_GB2312" w:hAnsi="仿宋_GB2312" w:cs="仿宋_GB2312"/>
                <w:color w:val="000000" w:themeColor="text1"/>
                <w:sz w:val="24"/>
                <w:szCs w:val="24"/>
              </w:rPr>
            </w:pPr>
          </w:p>
        </w:tc>
      </w:tr>
      <w:tr w:rsidR="00E37845">
        <w:trPr>
          <w:trHeight w:val="600"/>
          <w:jc w:val="center"/>
        </w:trPr>
        <w:tc>
          <w:tcPr>
            <w:tcW w:w="263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22BDD">
            <w:pPr>
              <w:widowControl/>
              <w:adjustRightInd w:val="0"/>
              <w:snapToGrid w:val="0"/>
              <w:spacing w:line="360" w:lineRule="auto"/>
              <w:ind w:firstLineChars="200" w:firstLine="480"/>
              <w:jc w:val="center"/>
              <w:textAlignment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节能咨询</w:t>
            </w:r>
          </w:p>
        </w:tc>
        <w:tc>
          <w:tcPr>
            <w:tcW w:w="19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22BDD">
            <w:pPr>
              <w:widowControl/>
              <w:adjustRightInd w:val="0"/>
              <w:snapToGrid w:val="0"/>
              <w:spacing w:line="360" w:lineRule="auto"/>
              <w:jc w:val="center"/>
              <w:textAlignment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39366602</w:t>
            </w:r>
          </w:p>
        </w:tc>
        <w:tc>
          <w:tcPr>
            <w:tcW w:w="39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37845">
            <w:pPr>
              <w:widowControl/>
              <w:adjustRightInd w:val="0"/>
              <w:snapToGrid w:val="0"/>
              <w:spacing w:line="360" w:lineRule="auto"/>
              <w:ind w:firstLineChars="200" w:firstLine="480"/>
              <w:jc w:val="center"/>
              <w:textAlignment w:val="center"/>
              <w:rPr>
                <w:rFonts w:ascii="仿宋_GB2312" w:eastAsia="仿宋_GB2312" w:hAnsi="仿宋_GB2312" w:cs="仿宋_GB2312"/>
                <w:color w:val="000000" w:themeColor="text1"/>
                <w:kern w:val="0"/>
                <w:sz w:val="24"/>
                <w:szCs w:val="24"/>
              </w:rPr>
            </w:pPr>
          </w:p>
        </w:tc>
      </w:tr>
      <w:tr w:rsidR="00E37845">
        <w:trPr>
          <w:trHeight w:val="600"/>
          <w:jc w:val="center"/>
        </w:trPr>
        <w:tc>
          <w:tcPr>
            <w:tcW w:w="263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22BDD">
            <w:pPr>
              <w:widowControl/>
              <w:adjustRightInd w:val="0"/>
              <w:snapToGrid w:val="0"/>
              <w:spacing w:line="360" w:lineRule="auto"/>
              <w:ind w:firstLineChars="200" w:firstLine="480"/>
              <w:jc w:val="center"/>
              <w:textAlignment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门诊部急诊</w:t>
            </w:r>
          </w:p>
        </w:tc>
        <w:tc>
          <w:tcPr>
            <w:tcW w:w="19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22BDD">
            <w:pPr>
              <w:widowControl/>
              <w:adjustRightInd w:val="0"/>
              <w:snapToGrid w:val="0"/>
              <w:spacing w:line="360" w:lineRule="auto"/>
              <w:jc w:val="center"/>
              <w:textAlignment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13533441900</w:t>
            </w:r>
          </w:p>
        </w:tc>
        <w:tc>
          <w:tcPr>
            <w:tcW w:w="39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37845">
            <w:pPr>
              <w:widowControl/>
              <w:adjustRightInd w:val="0"/>
              <w:snapToGrid w:val="0"/>
              <w:spacing w:line="360" w:lineRule="auto"/>
              <w:ind w:firstLineChars="200" w:firstLine="480"/>
              <w:jc w:val="center"/>
              <w:textAlignment w:val="center"/>
              <w:rPr>
                <w:rFonts w:ascii="仿宋_GB2312" w:eastAsia="仿宋_GB2312" w:hAnsi="仿宋_GB2312" w:cs="仿宋_GB2312"/>
                <w:color w:val="000000" w:themeColor="text1"/>
                <w:kern w:val="0"/>
                <w:sz w:val="24"/>
                <w:szCs w:val="24"/>
              </w:rPr>
            </w:pPr>
          </w:p>
        </w:tc>
      </w:tr>
      <w:tr w:rsidR="00E37845">
        <w:trPr>
          <w:trHeight w:val="600"/>
          <w:jc w:val="center"/>
        </w:trPr>
        <w:tc>
          <w:tcPr>
            <w:tcW w:w="263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22BDD">
            <w:pPr>
              <w:widowControl/>
              <w:adjustRightInd w:val="0"/>
              <w:snapToGrid w:val="0"/>
              <w:spacing w:line="360" w:lineRule="auto"/>
              <w:textAlignment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交通车失物查询、投诉</w:t>
            </w:r>
          </w:p>
        </w:tc>
        <w:tc>
          <w:tcPr>
            <w:tcW w:w="19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22BDD">
            <w:pPr>
              <w:widowControl/>
              <w:adjustRightInd w:val="0"/>
              <w:snapToGrid w:val="0"/>
              <w:spacing w:line="360" w:lineRule="auto"/>
              <w:jc w:val="center"/>
              <w:textAlignment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15989234114</w:t>
            </w:r>
          </w:p>
        </w:tc>
        <w:tc>
          <w:tcPr>
            <w:tcW w:w="39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37845" w:rsidRDefault="00E22BDD">
            <w:pPr>
              <w:widowControl/>
              <w:adjustRightInd w:val="0"/>
              <w:snapToGrid w:val="0"/>
              <w:spacing w:line="360" w:lineRule="auto"/>
              <w:ind w:firstLineChars="200" w:firstLine="480"/>
              <w:jc w:val="center"/>
              <w:textAlignment w:val="center"/>
              <w:rPr>
                <w:rFonts w:ascii="仿宋_GB2312" w:eastAsia="仿宋_GB2312" w:hAnsi="仿宋_GB2312" w:cs="仿宋_GB2312"/>
                <w:color w:val="000000" w:themeColor="text1"/>
                <w:kern w:val="0"/>
                <w:sz w:val="24"/>
                <w:szCs w:val="24"/>
              </w:rPr>
            </w:pPr>
            <w:r>
              <w:rPr>
                <w:rFonts w:ascii="仿宋_GB2312" w:eastAsia="仿宋_GB2312" w:hAnsi="仿宋_GB2312" w:cs="仿宋_GB2312" w:hint="eastAsia"/>
                <w:color w:val="000000" w:themeColor="text1"/>
                <w:kern w:val="0"/>
                <w:sz w:val="24"/>
                <w:szCs w:val="24"/>
              </w:rPr>
              <w:t>三汽公司经理</w:t>
            </w:r>
          </w:p>
        </w:tc>
      </w:tr>
    </w:tbl>
    <w:p w:rsidR="00E37845" w:rsidRDefault="00E37845">
      <w:pPr>
        <w:adjustRightInd w:val="0"/>
        <w:snapToGrid w:val="0"/>
        <w:spacing w:line="360" w:lineRule="auto"/>
        <w:ind w:firstLineChars="200" w:firstLine="480"/>
        <w:jc w:val="left"/>
        <w:rPr>
          <w:rFonts w:ascii="仿宋_GB2312" w:eastAsia="仿宋_GB2312" w:hAnsi="仿宋_GB2312" w:cs="仿宋_GB2312"/>
          <w:color w:val="000000" w:themeColor="text1"/>
          <w:sz w:val="24"/>
          <w:szCs w:val="24"/>
        </w:rPr>
      </w:pPr>
    </w:p>
    <w:p w:rsidR="00E37845" w:rsidRDefault="00E22BDD">
      <w:pPr>
        <w:pStyle w:val="2"/>
        <w:autoSpaceDE w:val="0"/>
        <w:autoSpaceDN w:val="0"/>
        <w:adjustRightInd w:val="0"/>
        <w:snapToGrid w:val="0"/>
        <w:spacing w:beforeLines="50" w:before="156" w:afterLines="50" w:after="156" w:line="360" w:lineRule="auto"/>
        <w:ind w:firstLineChars="166" w:firstLine="467"/>
        <w:jc w:val="left"/>
        <w:rPr>
          <w:rFonts w:ascii="黑体" w:eastAsia="黑体" w:hAnsi="黑体" w:cs="黑体"/>
          <w:color w:val="000000" w:themeColor="text1"/>
          <w:sz w:val="28"/>
          <w:szCs w:val="28"/>
        </w:rPr>
      </w:pPr>
      <w:bookmarkStart w:id="3408" w:name="_Toc30468"/>
      <w:r>
        <w:rPr>
          <w:rFonts w:ascii="黑体" w:eastAsia="黑体" w:hAnsi="黑体" w:cs="黑体" w:hint="eastAsia"/>
          <w:color w:val="000000" w:themeColor="text1"/>
          <w:sz w:val="28"/>
          <w:szCs w:val="28"/>
        </w:rPr>
        <w:t>11.5公文处理系统--会议管理及行政事务模块</w:t>
      </w:r>
      <w:bookmarkEnd w:id="3408"/>
    </w:p>
    <w:p w:rsidR="00E37845" w:rsidRDefault="00E22BDD">
      <w:pPr>
        <w:numPr>
          <w:ilvl w:val="255"/>
          <w:numId w:val="0"/>
        </w:numPr>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学校</w:t>
      </w:r>
      <w:r>
        <w:rPr>
          <w:rFonts w:ascii="仿宋_GB2312" w:eastAsia="仿宋_GB2312" w:hAnsi="仿宋_GB2312" w:cs="仿宋_GB2312" w:hint="eastAsia"/>
          <w:color w:val="000000" w:themeColor="text1"/>
          <w:kern w:val="0"/>
          <w:sz w:val="24"/>
          <w:szCs w:val="24"/>
        </w:rPr>
        <w:t>启用</w:t>
      </w:r>
      <w:r>
        <w:rPr>
          <w:rFonts w:ascii="仿宋_GB2312" w:eastAsia="仿宋_GB2312" w:hAnsi="仿宋_GB2312" w:cs="仿宋_GB2312"/>
          <w:color w:val="000000" w:themeColor="text1"/>
          <w:kern w:val="0"/>
          <w:sz w:val="24"/>
          <w:szCs w:val="24"/>
        </w:rPr>
        <w:t>公文处理系统--会议管理及行政事务模块，</w:t>
      </w:r>
      <w:r>
        <w:rPr>
          <w:rFonts w:ascii="仿宋_GB2312" w:eastAsia="仿宋_GB2312" w:hAnsi="仿宋_GB2312" w:cs="仿宋_GB2312" w:hint="eastAsia"/>
          <w:color w:val="000000" w:themeColor="text1"/>
          <w:kern w:val="0"/>
          <w:sz w:val="24"/>
          <w:szCs w:val="24"/>
        </w:rPr>
        <w:t>便于</w:t>
      </w:r>
      <w:r>
        <w:rPr>
          <w:rFonts w:ascii="仿宋_GB2312" w:eastAsia="仿宋_GB2312" w:hAnsi="仿宋_GB2312" w:cs="仿宋_GB2312"/>
          <w:color w:val="000000" w:themeColor="text1"/>
          <w:kern w:val="0"/>
          <w:sz w:val="24"/>
          <w:szCs w:val="24"/>
        </w:rPr>
        <w:t>做好校内及主（承)办各级各类会议（活动）的申报审批、会议场地申请及周程申报工作</w:t>
      </w:r>
      <w:r>
        <w:rPr>
          <w:rFonts w:ascii="仿宋_GB2312" w:eastAsia="仿宋_GB2312" w:hAnsi="仿宋_GB2312" w:cs="仿宋_GB2312" w:hint="eastAsia"/>
          <w:color w:val="000000" w:themeColor="text1"/>
          <w:kern w:val="0"/>
          <w:sz w:val="24"/>
          <w:szCs w:val="24"/>
        </w:rPr>
        <w:t>，</w:t>
      </w:r>
      <w:r>
        <w:rPr>
          <w:rFonts w:ascii="仿宋_GB2312" w:eastAsia="仿宋_GB2312" w:hAnsi="仿宋_GB2312" w:cs="仿宋_GB2312"/>
          <w:color w:val="000000" w:themeColor="text1"/>
          <w:kern w:val="0"/>
          <w:sz w:val="24"/>
          <w:szCs w:val="24"/>
        </w:rPr>
        <w:t>实现管理</w:t>
      </w:r>
      <w:r>
        <w:rPr>
          <w:rFonts w:ascii="仿宋_GB2312" w:eastAsia="仿宋_GB2312" w:hAnsi="仿宋_GB2312" w:cs="仿宋_GB2312" w:hint="eastAsia"/>
          <w:color w:val="000000" w:themeColor="text1"/>
          <w:kern w:val="0"/>
          <w:sz w:val="24"/>
          <w:szCs w:val="24"/>
        </w:rPr>
        <w:t>规范化、</w:t>
      </w:r>
      <w:r>
        <w:rPr>
          <w:rFonts w:ascii="仿宋_GB2312" w:eastAsia="仿宋_GB2312" w:hAnsi="仿宋_GB2312" w:cs="仿宋_GB2312"/>
          <w:color w:val="000000" w:themeColor="text1"/>
          <w:kern w:val="0"/>
          <w:sz w:val="24"/>
          <w:szCs w:val="24"/>
        </w:rPr>
        <w:t>精细化。</w:t>
      </w:r>
    </w:p>
    <w:p w:rsidR="00E37845" w:rsidRDefault="00E37845">
      <w:pPr>
        <w:numPr>
          <w:ilvl w:val="255"/>
          <w:numId w:val="0"/>
        </w:numPr>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p>
    <w:p w:rsidR="00E37845" w:rsidRDefault="00E22BDD">
      <w:pPr>
        <w:numPr>
          <w:ilvl w:val="255"/>
          <w:numId w:val="0"/>
        </w:numPr>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附件：1.操作指引</w:t>
      </w:r>
    </w:p>
    <w:p w:rsidR="00E37845" w:rsidRDefault="00E22BDD">
      <w:pPr>
        <w:numPr>
          <w:ilvl w:val="255"/>
          <w:numId w:val="0"/>
        </w:numPr>
        <w:adjustRightInd w:val="0"/>
        <w:snapToGrid w:val="0"/>
        <w:spacing w:line="360" w:lineRule="auto"/>
        <w:ind w:leftChars="200" w:left="420" w:firstLineChars="300" w:firstLine="7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2.申报流程</w:t>
      </w:r>
    </w:p>
    <w:p w:rsidR="00E37845" w:rsidRDefault="00E22BDD">
      <w:pPr>
        <w:numPr>
          <w:ilvl w:val="255"/>
          <w:numId w:val="0"/>
        </w:numPr>
        <w:adjustRightInd w:val="0"/>
        <w:snapToGrid w:val="0"/>
        <w:spacing w:line="360" w:lineRule="auto"/>
        <w:ind w:leftChars="200" w:left="420" w:firstLineChars="300" w:firstLine="7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3.各类会议（活动）审批部门</w:t>
      </w:r>
    </w:p>
    <w:p w:rsidR="00E37845" w:rsidRDefault="00E22BDD">
      <w:pPr>
        <w:jc w:val="left"/>
        <w:rPr>
          <w:rFonts w:ascii="仿宋_GB2312" w:eastAsia="仿宋_GB2312" w:hAnsi="黑体"/>
          <w:sz w:val="32"/>
          <w:szCs w:val="32"/>
        </w:rPr>
      </w:pPr>
      <w:r>
        <w:rPr>
          <w:rFonts w:ascii="仿宋_GB2312" w:eastAsia="仿宋_GB2312" w:hAnsi="黑体" w:hint="eastAsia"/>
          <w:sz w:val="32"/>
          <w:szCs w:val="32"/>
        </w:rPr>
        <w:lastRenderedPageBreak/>
        <w:br w:type="page"/>
      </w:r>
    </w:p>
    <w:p w:rsidR="00E37845" w:rsidRDefault="00E22BDD">
      <w:pPr>
        <w:numPr>
          <w:ilvl w:val="255"/>
          <w:numId w:val="0"/>
        </w:numPr>
        <w:adjustRightInd w:val="0"/>
        <w:snapToGrid w:val="0"/>
        <w:spacing w:line="360" w:lineRule="auto"/>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lastRenderedPageBreak/>
        <w:t>附件1</w:t>
      </w:r>
    </w:p>
    <w:p w:rsidR="00E37845" w:rsidRDefault="00E22BDD">
      <w:pPr>
        <w:adjustRightInd w:val="0"/>
        <w:snapToGrid w:val="0"/>
        <w:spacing w:line="360" w:lineRule="auto"/>
        <w:ind w:firstLineChars="200" w:firstLine="560"/>
        <w:jc w:val="center"/>
        <w:rPr>
          <w:rFonts w:ascii="方正小标宋简体" w:eastAsia="方正小标宋简体" w:hAnsi="方正大标宋简体" w:cs="方正大标宋简体"/>
          <w:color w:val="000000" w:themeColor="text1"/>
          <w:sz w:val="28"/>
          <w:szCs w:val="28"/>
        </w:rPr>
      </w:pPr>
      <w:r>
        <w:rPr>
          <w:rFonts w:ascii="方正小标宋简体" w:eastAsia="方正小标宋简体" w:hAnsi="方正大标宋简体" w:cs="方正大标宋简体" w:hint="eastAsia"/>
          <w:color w:val="000000" w:themeColor="text1"/>
          <w:sz w:val="28"/>
          <w:szCs w:val="28"/>
        </w:rPr>
        <w:t>操作指引</w:t>
      </w:r>
    </w:p>
    <w:p w:rsidR="00E37845" w:rsidRDefault="00E22BDD">
      <w:pPr>
        <w:numPr>
          <w:ilvl w:val="255"/>
          <w:numId w:val="0"/>
        </w:numPr>
        <w:autoSpaceDE w:val="0"/>
        <w:autoSpaceDN w:val="0"/>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一、周程申报</w:t>
      </w:r>
    </w:p>
    <w:p w:rsidR="00E37845" w:rsidRDefault="00E22BDD">
      <w:pPr>
        <w:numPr>
          <w:ilvl w:val="255"/>
          <w:numId w:val="0"/>
        </w:numPr>
        <w:adjustRightInd w:val="0"/>
        <w:snapToGrid w:val="0"/>
        <w:spacing w:line="360" w:lineRule="auto"/>
        <w:ind w:leftChars="200" w:left="420"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登陆数字广大---公文处理---行政事务---周程管理---周程填报模块，各单位管理员按周次填报相关信息并提交。</w:t>
      </w:r>
    </w:p>
    <w:p w:rsidR="00E37845" w:rsidRDefault="00E22BDD">
      <w:pPr>
        <w:autoSpaceDE w:val="0"/>
        <w:autoSpaceDN w:val="0"/>
        <w:adjustRightInd w:val="0"/>
        <w:snapToGrid w:val="0"/>
        <w:spacing w:line="360" w:lineRule="auto"/>
        <w:ind w:firstLineChars="200" w:firstLine="482"/>
        <w:jc w:val="left"/>
        <w:rPr>
          <w:rFonts w:ascii="黑体" w:eastAsia="黑体" w:hAnsi="黑体" w:cs="黑体"/>
          <w:b/>
          <w:bCs/>
          <w:color w:val="000000" w:themeColor="text1"/>
          <w:sz w:val="24"/>
          <w:szCs w:val="24"/>
        </w:rPr>
      </w:pPr>
      <w:r>
        <w:rPr>
          <w:rFonts w:ascii="黑体" w:eastAsia="黑体" w:hAnsi="黑体" w:cs="黑体"/>
          <w:b/>
          <w:bCs/>
          <w:color w:val="000000" w:themeColor="text1"/>
          <w:sz w:val="24"/>
          <w:szCs w:val="24"/>
        </w:rPr>
        <w:t>二、会议（活动）申报</w:t>
      </w:r>
    </w:p>
    <w:p w:rsidR="00E37845" w:rsidRDefault="00E22BDD">
      <w:pPr>
        <w:numPr>
          <w:ilvl w:val="255"/>
          <w:numId w:val="0"/>
        </w:numPr>
        <w:adjustRightInd w:val="0"/>
        <w:snapToGrid w:val="0"/>
        <w:spacing w:line="360" w:lineRule="auto"/>
        <w:ind w:leftChars="200" w:left="420"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1.登陆数字广大---公文处理---会议管理——会议申报——选择会议类别，逐一填报表单内容。</w:t>
      </w:r>
    </w:p>
    <w:p w:rsidR="00E37845" w:rsidRDefault="00E22BDD">
      <w:pPr>
        <w:numPr>
          <w:ilvl w:val="255"/>
          <w:numId w:val="0"/>
        </w:numPr>
        <w:adjustRightInd w:val="0"/>
        <w:snapToGrid w:val="0"/>
        <w:spacing w:line="360" w:lineRule="auto"/>
        <w:ind w:leftChars="200" w:left="420"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2.填报完成后点击【发送】，报所在单位负责人审核。</w:t>
      </w:r>
    </w:p>
    <w:p w:rsidR="00E37845" w:rsidRDefault="00E22BDD">
      <w:pPr>
        <w:numPr>
          <w:ilvl w:val="255"/>
          <w:numId w:val="0"/>
        </w:numPr>
        <w:adjustRightInd w:val="0"/>
        <w:snapToGrid w:val="0"/>
        <w:spacing w:line="360" w:lineRule="auto"/>
        <w:ind w:leftChars="200" w:left="420"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3.单位负责人完成审核后返回本单位管理员进行流转。</w:t>
      </w:r>
    </w:p>
    <w:p w:rsidR="00E37845" w:rsidRDefault="00E22BDD">
      <w:pPr>
        <w:numPr>
          <w:ilvl w:val="255"/>
          <w:numId w:val="0"/>
        </w:numPr>
        <w:adjustRightInd w:val="0"/>
        <w:snapToGrid w:val="0"/>
        <w:spacing w:line="360" w:lineRule="auto"/>
        <w:ind w:leftChars="200" w:left="420"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4.单位管理员按会议类别提交相关职能部门审批（详见附件3）。</w:t>
      </w:r>
    </w:p>
    <w:p w:rsidR="00E37845" w:rsidRDefault="00E22BDD">
      <w:pPr>
        <w:numPr>
          <w:ilvl w:val="255"/>
          <w:numId w:val="0"/>
        </w:numPr>
        <w:adjustRightInd w:val="0"/>
        <w:snapToGrid w:val="0"/>
        <w:spacing w:line="360" w:lineRule="auto"/>
        <w:ind w:leftChars="200" w:left="420"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5.相关职能部门审批后发回申请单位管理员。</w:t>
      </w:r>
    </w:p>
    <w:p w:rsidR="00E37845" w:rsidRDefault="00E22BDD">
      <w:pPr>
        <w:numPr>
          <w:ilvl w:val="255"/>
          <w:numId w:val="0"/>
        </w:numPr>
        <w:adjustRightInd w:val="0"/>
        <w:snapToGrid w:val="0"/>
        <w:spacing w:line="360" w:lineRule="auto"/>
        <w:ind w:leftChars="200" w:left="420"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6.申请单位管理员在会议审批通过后，从表单内点击【会议室申请】进入会议室（活动场地）申请。</w:t>
      </w:r>
    </w:p>
    <w:p w:rsidR="00E37845" w:rsidRDefault="00E22BDD">
      <w:pPr>
        <w:numPr>
          <w:ilvl w:val="255"/>
          <w:numId w:val="0"/>
        </w:numPr>
        <w:adjustRightInd w:val="0"/>
        <w:snapToGrid w:val="0"/>
        <w:spacing w:line="360" w:lineRule="auto"/>
        <w:ind w:leftChars="200" w:left="420"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7.申请单位管理员按照《广州大学会议(活动)场地使用申请表》完善相关信息或添加附件，点击【发送】。</w:t>
      </w:r>
    </w:p>
    <w:p w:rsidR="00E37845" w:rsidRDefault="00E22BDD">
      <w:pPr>
        <w:numPr>
          <w:ilvl w:val="255"/>
          <w:numId w:val="0"/>
        </w:numPr>
        <w:adjustRightInd w:val="0"/>
        <w:snapToGrid w:val="0"/>
        <w:spacing w:line="360" w:lineRule="auto"/>
        <w:ind w:leftChars="200" w:left="420"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8.会议室管理员根据会议需求信息安排会议室，并回复申请单位。</w:t>
      </w:r>
    </w:p>
    <w:p w:rsidR="00E37845" w:rsidRDefault="00E22BDD">
      <w:pPr>
        <w:numPr>
          <w:ilvl w:val="255"/>
          <w:numId w:val="0"/>
        </w:numPr>
        <w:adjustRightInd w:val="0"/>
        <w:snapToGrid w:val="0"/>
        <w:spacing w:line="360" w:lineRule="auto"/>
        <w:ind w:leftChars="200" w:left="420"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9.流程结束。</w:t>
      </w:r>
    </w:p>
    <w:p w:rsidR="00E37845" w:rsidRDefault="00E22BDD">
      <w:pPr>
        <w:numPr>
          <w:ilvl w:val="255"/>
          <w:numId w:val="0"/>
        </w:numPr>
        <w:adjustRightInd w:val="0"/>
        <w:snapToGrid w:val="0"/>
        <w:spacing w:line="360" w:lineRule="auto"/>
        <w:ind w:leftChars="200" w:left="42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br w:type="page"/>
      </w:r>
    </w:p>
    <w:p w:rsidR="00E37845" w:rsidRDefault="00E22BDD">
      <w:pPr>
        <w:numPr>
          <w:ilvl w:val="255"/>
          <w:numId w:val="0"/>
        </w:numPr>
        <w:adjustRightInd w:val="0"/>
        <w:snapToGrid w:val="0"/>
        <w:spacing w:line="360" w:lineRule="auto"/>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lastRenderedPageBreak/>
        <w:t>附件2</w:t>
      </w:r>
    </w:p>
    <w:p w:rsidR="00E37845" w:rsidRDefault="00E22BDD">
      <w:pPr>
        <w:adjustRightInd w:val="0"/>
        <w:snapToGrid w:val="0"/>
        <w:spacing w:line="360" w:lineRule="auto"/>
        <w:jc w:val="center"/>
        <w:rPr>
          <w:rFonts w:ascii="方正小标宋简体" w:eastAsia="方正小标宋简体" w:hAnsi="方正大标宋简体" w:cs="方正大标宋简体"/>
          <w:color w:val="000000" w:themeColor="text1"/>
          <w:sz w:val="28"/>
          <w:szCs w:val="28"/>
        </w:rPr>
      </w:pPr>
      <w:r>
        <w:rPr>
          <w:rFonts w:ascii="方正小标宋简体" w:eastAsia="方正小标宋简体" w:hAnsi="方正大标宋简体" w:cs="方正大标宋简体" w:hint="eastAsia"/>
          <w:color w:val="000000" w:themeColor="text1"/>
          <w:sz w:val="28"/>
          <w:szCs w:val="28"/>
        </w:rPr>
        <w:t>申报流程</w:t>
      </w:r>
    </w:p>
    <w:p w:rsidR="00E37845" w:rsidRDefault="001B499F">
      <w:pPr>
        <w:widowControl/>
        <w:jc w:val="left"/>
        <w:rPr>
          <w:rFonts w:ascii="仿宋_GB2312" w:eastAsia="仿宋_GB2312"/>
          <w:sz w:val="32"/>
          <w:szCs w:val="32"/>
        </w:rPr>
      </w:pPr>
      <w:r>
        <w:pict>
          <v:group id="_x0000_s1098" style="position:absolute;margin-left:4.7pt;margin-top:13.65pt;width:424.75pt;height:451.65pt;z-index:251693568" coordorigin="1598,3168" coordsize="8495,8598">
            <v:rect id="_x0000_s1167" style="position:absolute;left:5097;top:3168;width:1710;height:711" strokeweight="1pt">
              <v:textbox>
                <w:txbxContent>
                  <w:p w:rsidR="00E37845" w:rsidRDefault="00E22BDD">
                    <w:pPr>
                      <w:ind w:firstLineChars="50" w:firstLine="140"/>
                      <w:rPr>
                        <w:rFonts w:ascii="黑体" w:eastAsia="黑体" w:hAnsi="黑体"/>
                        <w:sz w:val="28"/>
                      </w:rPr>
                    </w:pPr>
                    <w:r>
                      <w:rPr>
                        <w:rFonts w:ascii="黑体" w:eastAsia="黑体" w:hAnsi="黑体" w:hint="eastAsia"/>
                        <w:sz w:val="28"/>
                      </w:rPr>
                      <w:t>会议申报</w:t>
                    </w:r>
                  </w:p>
                </w:txbxContent>
              </v:textbox>
            </v:rect>
            <v:rect id="_x0000_s1168" style="position:absolute;left:1615;top:4621;width:2162;height:725">
              <v:textbox>
                <w:txbxContent>
                  <w:p w:rsidR="00E37845" w:rsidRDefault="00E22BDD">
                    <w:pPr>
                      <w:jc w:val="center"/>
                    </w:pPr>
                    <w:r>
                      <w:rPr>
                        <w:rFonts w:hint="eastAsia"/>
                      </w:rPr>
                      <w:t>一般工作会议</w:t>
                    </w:r>
                  </w:p>
                  <w:p w:rsidR="00E37845" w:rsidRDefault="00E22BDD">
                    <w:pPr>
                      <w:jc w:val="center"/>
                    </w:pPr>
                    <w:r>
                      <w:rPr>
                        <w:rFonts w:hint="eastAsia"/>
                      </w:rPr>
                      <w:t>（只用会议室）</w:t>
                    </w:r>
                  </w:p>
                </w:txbxContent>
              </v:textbox>
            </v:rect>
            <v:rect id="_x0000_s1169" style="position:absolute;left:7635;top:4416;width:2382;height:408">
              <v:textbox>
                <w:txbxContent>
                  <w:p w:rsidR="00E37845" w:rsidRDefault="00E22BDD">
                    <w:pPr>
                      <w:jc w:val="center"/>
                    </w:pPr>
                    <w:r>
                      <w:rPr>
                        <w:rFonts w:hint="eastAsia"/>
                        <w:sz w:val="20"/>
                      </w:rPr>
                      <w:t>主（承</w:t>
                    </w:r>
                    <w:r>
                      <w:rPr>
                        <w:rFonts w:hint="eastAsia"/>
                        <w:sz w:val="20"/>
                      </w:rPr>
                      <w:t>)</w:t>
                    </w:r>
                    <w:r>
                      <w:rPr>
                        <w:rFonts w:hint="eastAsia"/>
                        <w:sz w:val="20"/>
                      </w:rPr>
                      <w:t>办会议（活</w:t>
                    </w:r>
                    <w:r>
                      <w:rPr>
                        <w:rFonts w:hint="eastAsia"/>
                      </w:rPr>
                      <w:t>动）</w:t>
                    </w:r>
                  </w:p>
                </w:txbxContent>
              </v:textbox>
            </v:rect>
            <v:rect id="_x0000_s1170" style="position:absolute;left:7635;top:6353;width:2025;height:585">
              <v:textbox>
                <w:txbxContent>
                  <w:p w:rsidR="00E37845" w:rsidRDefault="00E22BDD">
                    <w:pPr>
                      <w:jc w:val="center"/>
                    </w:pPr>
                    <w:r>
                      <w:rPr>
                        <w:rFonts w:hint="eastAsia"/>
                      </w:rPr>
                      <w:t>相关职能部门审批</w:t>
                    </w:r>
                  </w:p>
                </w:txbxContent>
              </v:textbox>
            </v:rect>
            <v:rect id="_x0000_s1171" style="position:absolute;left:4858;top:8826;width:2117;height:507">
              <v:textbox>
                <w:txbxContent>
                  <w:p w:rsidR="00E37845" w:rsidRDefault="00E22BDD">
                    <w:pPr>
                      <w:jc w:val="center"/>
                    </w:pPr>
                    <w:r>
                      <w:rPr>
                        <w:rFonts w:hint="eastAsia"/>
                      </w:rPr>
                      <w:t>会议室申请</w:t>
                    </w:r>
                  </w:p>
                </w:txbxContent>
              </v:textbox>
            </v:rect>
            <v:rect id="_x0000_s1172" style="position:absolute;left:4633;top:5838;width:2171;height:515">
              <v:textbox>
                <w:txbxContent>
                  <w:p w:rsidR="00E37845" w:rsidRDefault="00E22BDD">
                    <w:pPr>
                      <w:jc w:val="center"/>
                    </w:pPr>
                    <w:r>
                      <w:rPr>
                        <w:rFonts w:hint="eastAsia"/>
                      </w:rPr>
                      <w:t>单位负责人审批</w:t>
                    </w:r>
                  </w:p>
                </w:txbxContent>
              </v:textbox>
            </v:rect>
            <v:shape id="_x0000_s1173" type="#_x0000_t32" style="position:absolute;left:2510;top:4131;width:6130;height:2" o:connectortype="straight"/>
            <v:shape id="_x0000_s1174" type="#_x0000_t32" style="position:absolute;left:2511;top:4131;width:0;height:490" o:connectortype="straight">
              <v:stroke endarrow="block"/>
            </v:shape>
            <v:shape id="_x0000_s1175" type="#_x0000_t32" style="position:absolute;left:8640;top:4131;width:0;height:285" o:connectortype="straight">
              <v:stroke endarrow="block"/>
            </v:shape>
            <v:shape id="_x0000_s1176" type="#_x0000_t32" style="position:absolute;left:5960;top:3879;width:0;height:252" o:connectortype="straight"/>
            <v:shape id="_x0000_s1177" type="#_x0000_t32" style="position:absolute;left:5734;top:5211;width:0;height:627" o:connectortype="straight">
              <v:stroke endarrow="block"/>
            </v:shape>
            <v:shape id="_x0000_s1178" type="#_x0000_t32" style="position:absolute;left:8645;top:5697;width:1;height:656" o:connectortype="straight">
              <v:stroke endarrow="block"/>
            </v:shape>
            <v:shape id="_x0000_s1179" type="#_x0000_t32" style="position:absolute;left:2512;top:6609;width:0;height:2482" o:connectortype="straight"/>
            <v:shape id="_x0000_s1180" type="#_x0000_t32" style="position:absolute;left:2484;top:9090;width:2374;height:1" o:connectortype="straight">
              <v:stroke endarrow="block"/>
            </v:shape>
            <v:shape id="_x0000_s1181" type="#_x0000_t32" style="position:absolute;left:6975;top:8966;width:1665;height:0;flip:x" o:connectortype="straight">
              <v:stroke endarrow="block"/>
            </v:shape>
            <v:shape id="_x0000_s1182" type="#_x0000_t32" style="position:absolute;left:5170;top:10489;width:1;height:730" o:connectortype="straight">
              <v:stroke endarrow="block"/>
            </v:shape>
            <v:shape id="_x0000_s1183" type="#_x0000_t32" style="position:absolute;left:6804;top:10511;width:3;height:784;flip:x" o:connectortype="straight">
              <v:stroke endarrow="block"/>
            </v:shape>
            <v:rect id="_x0000_s1184" style="position:absolute;left:7685;top:5241;width:2332;height:456">
              <v:textbox>
                <w:txbxContent>
                  <w:p w:rsidR="00E37845" w:rsidRDefault="00E22BDD">
                    <w:pPr>
                      <w:jc w:val="center"/>
                    </w:pPr>
                    <w:r>
                      <w:rPr>
                        <w:rFonts w:hint="eastAsia"/>
                      </w:rPr>
                      <w:t>单位负责人审批</w:t>
                    </w:r>
                  </w:p>
                </w:txbxContent>
              </v:textbox>
            </v:rect>
            <v:shape id="_x0000_s1185" type="#_x0000_t32" style="position:absolute;left:8640;top:4824;width:0;height:432" o:connectortype="straight">
              <v:stroke endarrow="block"/>
            </v:shape>
            <v:rect id="_x0000_s1186" style="position:absolute;left:4633;top:10037;width:2475;height:474">
              <v:textbox>
                <w:txbxContent>
                  <w:p w:rsidR="00E37845" w:rsidRDefault="00E22BDD">
                    <w:pPr>
                      <w:jc w:val="center"/>
                    </w:pPr>
                    <w:r>
                      <w:rPr>
                        <w:rFonts w:hint="eastAsia"/>
                      </w:rPr>
                      <w:t>会议室管理员审核</w:t>
                    </w:r>
                  </w:p>
                </w:txbxContent>
              </v:textbox>
            </v:rect>
            <v:shape id="_x0000_s1187" type="#_x0000_t32" style="position:absolute;left:5734;top:6353;width:0;height:585" o:connectortype="straight">
              <v:stroke endarrow="block"/>
            </v:shape>
            <v:rect id="_x0000_s1188" style="position:absolute;left:4724;top:6938;width:2080;height:498">
              <v:textbox>
                <w:txbxContent>
                  <w:p w:rsidR="00E37845" w:rsidRDefault="00E22BDD">
                    <w:pPr>
                      <w:jc w:val="center"/>
                    </w:pPr>
                    <w:r>
                      <w:rPr>
                        <w:rFonts w:hint="eastAsia"/>
                      </w:rPr>
                      <w:t>财务经费审批</w:t>
                    </w:r>
                  </w:p>
                </w:txbxContent>
              </v:textbox>
            </v:rect>
            <v:rect id="_x0000_s1189" style="position:absolute;left:6404;top:11295;width:1978;height:471">
              <v:textbox>
                <w:txbxContent>
                  <w:p w:rsidR="00E37845" w:rsidRDefault="00E22BDD">
                    <w:pPr>
                      <w:jc w:val="center"/>
                    </w:pPr>
                    <w:r>
                      <w:rPr>
                        <w:rFonts w:hint="eastAsia"/>
                      </w:rPr>
                      <w:t>周程管理员办理</w:t>
                    </w:r>
                  </w:p>
                </w:txbxContent>
              </v:textbox>
            </v:rect>
            <v:rect id="_x0000_s1190" style="position:absolute;left:3924;top:11295;width:1950;height:471">
              <v:textbox>
                <w:txbxContent>
                  <w:p w:rsidR="00E37845" w:rsidRDefault="00E22BDD">
                    <w:pPr>
                      <w:jc w:val="center"/>
                    </w:pPr>
                    <w:r>
                      <w:rPr>
                        <w:rFonts w:hint="eastAsia"/>
                      </w:rPr>
                      <w:t>非周程会议结束</w:t>
                    </w:r>
                  </w:p>
                </w:txbxContent>
              </v:textbox>
            </v:rect>
            <v:rect id="_x0000_s1191" style="position:absolute;left:7685;top:8280;width:1975;height:435">
              <v:textbox>
                <w:txbxContent>
                  <w:p w:rsidR="00E37845" w:rsidRDefault="00E22BDD">
                    <w:pPr>
                      <w:jc w:val="center"/>
                    </w:pPr>
                    <w:r>
                      <w:rPr>
                        <w:rFonts w:hint="eastAsia"/>
                      </w:rPr>
                      <w:t>校领导审批</w:t>
                    </w:r>
                  </w:p>
                </w:txbxContent>
              </v:textbox>
            </v:rect>
            <v:shape id="_x0000_s1192" type="#_x0000_t32" style="position:absolute;left:6975;top:9186;width:3118;height:0;flip:x" o:connectortype="straight">
              <v:stroke endarrow="block"/>
            </v:shape>
            <v:shape id="_x0000_s1193" type="#_x0000_t32" style="position:absolute;left:10092;top:6608;width:1;height:2578" o:connectortype="straight"/>
            <v:shape id="_x0000_s1194" type="#_x0000_t32" style="position:absolute;left:5733;top:4153;width:0;height:468" o:connectortype="straight">
              <v:stroke endarrow="block"/>
            </v:shape>
            <v:rect id="_x0000_s1195" style="position:absolute;left:4633;top:4621;width:2171;height:725">
              <v:textbox>
                <w:txbxContent>
                  <w:p w:rsidR="00E37845" w:rsidRDefault="00E22BDD">
                    <w:pPr>
                      <w:spacing w:line="240" w:lineRule="exact"/>
                      <w:jc w:val="center"/>
                    </w:pPr>
                    <w:r>
                      <w:rPr>
                        <w:rFonts w:hint="eastAsia"/>
                      </w:rPr>
                      <w:t>评审会、座谈会</w:t>
                    </w:r>
                  </w:p>
                  <w:p w:rsidR="00E37845" w:rsidRDefault="00E22BDD">
                    <w:pPr>
                      <w:spacing w:line="240" w:lineRule="exact"/>
                      <w:jc w:val="center"/>
                    </w:pPr>
                    <w:r>
                      <w:rPr>
                        <w:rFonts w:hint="eastAsia"/>
                      </w:rPr>
                      <w:t>座谈会、答辩会</w:t>
                    </w:r>
                  </w:p>
                </w:txbxContent>
              </v:textbox>
            </v:rect>
            <v:rect id="_x0000_s1196" style="position:absolute;left:1598;top:6133;width:2179;height:476">
              <v:textbox>
                <w:txbxContent>
                  <w:p w:rsidR="00E37845" w:rsidRDefault="00E22BDD">
                    <w:pPr>
                      <w:jc w:val="center"/>
                    </w:pPr>
                    <w:r>
                      <w:rPr>
                        <w:rFonts w:hint="eastAsia"/>
                      </w:rPr>
                      <w:t>单位负责人审批</w:t>
                    </w:r>
                  </w:p>
                </w:txbxContent>
              </v:textbox>
            </v:rect>
            <v:rect id="_x0000_s1197" style="position:absolute;left:7685;top:7441;width:1975;height:435">
              <v:textbox>
                <w:txbxContent>
                  <w:p w:rsidR="00E37845" w:rsidRDefault="00E22BDD">
                    <w:r>
                      <w:rPr>
                        <w:rFonts w:hint="eastAsia"/>
                      </w:rPr>
                      <w:t>财务经费审批</w:t>
                    </w:r>
                  </w:p>
                </w:txbxContent>
              </v:textbox>
            </v:rect>
            <v:shape id="_x0000_s1198" type="#_x0000_t32" style="position:absolute;left:8638;top:6996;width:1;height:357" o:connectortype="straight">
              <v:stroke endarrow="block"/>
            </v:shape>
            <v:shape id="_x0000_s1199" type="#_x0000_t32" style="position:absolute;left:8644;top:7923;width:1;height:357" o:connectortype="straight">
              <v:stroke endarrow="block"/>
            </v:shape>
            <v:shape id="_x0000_s1200" type="#_x0000_t32" style="position:absolute;left:8645;top:8715;width:0;height:252" o:connectortype="straight"/>
            <v:shape id="_x0000_s1201" type="#_x0000_t32" style="position:absolute;left:2511;top:5346;width:1;height:702" o:connectortype="straight">
              <v:stroke endarrow="block"/>
            </v:shape>
            <v:shape id="_x0000_s1202" type="#_x0000_t32" style="position:absolute;left:5734;top:7436;width:1;height:1385" o:connectortype="straight">
              <v:stroke endarrow="block"/>
            </v:shape>
            <v:shape id="_x0000_s1203" type="#_x0000_t32" style="position:absolute;left:9660;top:6602;width:432;height:6" o:connectortype="straight"/>
            <v:shape id="_x0000_s1204" type="#_x0000_t32" style="position:absolute;left:5873;top:9333;width:1;height:697" o:connectortype="straight">
              <v:stroke endarrow="block"/>
            </v:shape>
          </v:group>
        </w:pict>
      </w:r>
    </w:p>
    <w:p w:rsidR="00E37845" w:rsidRDefault="00E37845">
      <w:pPr>
        <w:widowControl/>
        <w:jc w:val="left"/>
        <w:rPr>
          <w:rFonts w:ascii="仿宋_GB2312" w:eastAsia="仿宋_GB2312"/>
          <w:sz w:val="32"/>
          <w:szCs w:val="32"/>
        </w:rPr>
      </w:pPr>
    </w:p>
    <w:p w:rsidR="00E37845" w:rsidRDefault="00E37845">
      <w:pPr>
        <w:widowControl/>
        <w:jc w:val="left"/>
        <w:rPr>
          <w:rFonts w:ascii="仿宋_GB2312" w:eastAsia="仿宋_GB2312"/>
          <w:sz w:val="32"/>
          <w:szCs w:val="32"/>
        </w:rPr>
      </w:pPr>
    </w:p>
    <w:p w:rsidR="00E37845" w:rsidRDefault="00E37845">
      <w:pPr>
        <w:widowControl/>
        <w:jc w:val="left"/>
        <w:rPr>
          <w:rFonts w:ascii="仿宋_GB2312" w:eastAsia="仿宋_GB2312"/>
          <w:sz w:val="32"/>
          <w:szCs w:val="32"/>
        </w:rPr>
      </w:pPr>
    </w:p>
    <w:p w:rsidR="00E37845" w:rsidRDefault="00E37845">
      <w:pPr>
        <w:widowControl/>
        <w:jc w:val="left"/>
        <w:rPr>
          <w:rFonts w:ascii="仿宋_GB2312" w:eastAsia="仿宋_GB2312"/>
          <w:sz w:val="32"/>
          <w:szCs w:val="32"/>
        </w:rPr>
      </w:pPr>
    </w:p>
    <w:p w:rsidR="00E37845" w:rsidRDefault="00E37845">
      <w:pPr>
        <w:widowControl/>
        <w:jc w:val="left"/>
        <w:rPr>
          <w:rFonts w:ascii="仿宋_GB2312" w:eastAsia="仿宋_GB2312"/>
          <w:sz w:val="32"/>
          <w:szCs w:val="32"/>
        </w:rPr>
      </w:pPr>
    </w:p>
    <w:p w:rsidR="00E37845" w:rsidRDefault="00E37845">
      <w:pPr>
        <w:widowControl/>
        <w:jc w:val="left"/>
        <w:rPr>
          <w:rFonts w:ascii="仿宋_GB2312" w:eastAsia="仿宋_GB2312"/>
          <w:sz w:val="32"/>
          <w:szCs w:val="32"/>
        </w:rPr>
      </w:pPr>
    </w:p>
    <w:p w:rsidR="00E37845" w:rsidRDefault="00E37845">
      <w:pPr>
        <w:widowControl/>
        <w:jc w:val="left"/>
        <w:rPr>
          <w:rFonts w:ascii="仿宋_GB2312" w:eastAsia="仿宋_GB2312"/>
          <w:sz w:val="32"/>
          <w:szCs w:val="32"/>
        </w:rPr>
      </w:pPr>
    </w:p>
    <w:p w:rsidR="00E37845" w:rsidRDefault="00E37845">
      <w:pPr>
        <w:widowControl/>
        <w:jc w:val="left"/>
        <w:rPr>
          <w:rFonts w:ascii="仿宋_GB2312" w:eastAsia="仿宋_GB2312"/>
          <w:sz w:val="32"/>
          <w:szCs w:val="32"/>
        </w:rPr>
      </w:pPr>
    </w:p>
    <w:p w:rsidR="00E37845" w:rsidRDefault="00E37845">
      <w:pPr>
        <w:widowControl/>
        <w:jc w:val="left"/>
        <w:rPr>
          <w:rFonts w:ascii="仿宋_GB2312" w:eastAsia="仿宋_GB2312"/>
          <w:sz w:val="32"/>
          <w:szCs w:val="32"/>
        </w:rPr>
      </w:pPr>
    </w:p>
    <w:p w:rsidR="00E37845" w:rsidRDefault="00E37845">
      <w:pPr>
        <w:widowControl/>
        <w:jc w:val="left"/>
        <w:rPr>
          <w:rFonts w:ascii="仿宋_GB2312" w:eastAsia="仿宋_GB2312"/>
          <w:sz w:val="32"/>
          <w:szCs w:val="32"/>
        </w:rPr>
      </w:pPr>
    </w:p>
    <w:p w:rsidR="00E37845" w:rsidRDefault="00E37845">
      <w:pPr>
        <w:widowControl/>
        <w:jc w:val="left"/>
        <w:rPr>
          <w:rFonts w:ascii="仿宋_GB2312" w:eastAsia="仿宋_GB2312"/>
          <w:sz w:val="32"/>
          <w:szCs w:val="32"/>
        </w:rPr>
      </w:pPr>
    </w:p>
    <w:p w:rsidR="00E37845" w:rsidRDefault="00E37845">
      <w:pPr>
        <w:widowControl/>
        <w:jc w:val="left"/>
        <w:rPr>
          <w:rFonts w:ascii="仿宋_GB2312" w:eastAsia="仿宋_GB2312"/>
          <w:sz w:val="32"/>
          <w:szCs w:val="32"/>
        </w:rPr>
      </w:pPr>
    </w:p>
    <w:p w:rsidR="00E37845" w:rsidRDefault="00E37845">
      <w:pPr>
        <w:widowControl/>
        <w:jc w:val="left"/>
        <w:rPr>
          <w:rFonts w:ascii="仿宋_GB2312" w:eastAsia="仿宋_GB2312"/>
          <w:sz w:val="32"/>
          <w:szCs w:val="32"/>
        </w:rPr>
      </w:pPr>
    </w:p>
    <w:p w:rsidR="00E37845" w:rsidRDefault="00E37845">
      <w:pPr>
        <w:widowControl/>
        <w:jc w:val="left"/>
        <w:rPr>
          <w:rFonts w:ascii="仿宋_GB2312" w:eastAsia="仿宋_GB2312"/>
          <w:sz w:val="32"/>
          <w:szCs w:val="32"/>
        </w:rPr>
      </w:pPr>
    </w:p>
    <w:p w:rsidR="00E37845" w:rsidRDefault="00E22BDD">
      <w:pPr>
        <w:widowControl/>
        <w:jc w:val="left"/>
        <w:rPr>
          <w:rFonts w:ascii="仿宋_GB2312" w:eastAsia="仿宋_GB2312"/>
          <w:sz w:val="32"/>
          <w:szCs w:val="32"/>
        </w:rPr>
      </w:pPr>
      <w:r>
        <w:rPr>
          <w:rFonts w:ascii="仿宋_GB2312" w:eastAsia="仿宋_GB2312"/>
          <w:sz w:val="32"/>
          <w:szCs w:val="32"/>
        </w:rPr>
        <w:br w:type="page"/>
      </w:r>
    </w:p>
    <w:p w:rsidR="00E37845" w:rsidRDefault="00E22BDD">
      <w:pPr>
        <w:numPr>
          <w:ilvl w:val="255"/>
          <w:numId w:val="0"/>
        </w:numPr>
        <w:adjustRightInd w:val="0"/>
        <w:snapToGrid w:val="0"/>
        <w:spacing w:line="360" w:lineRule="auto"/>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lastRenderedPageBreak/>
        <w:t>附件3</w:t>
      </w:r>
    </w:p>
    <w:p w:rsidR="00E37845" w:rsidRDefault="00E22BDD">
      <w:pPr>
        <w:adjustRightInd w:val="0"/>
        <w:snapToGrid w:val="0"/>
        <w:spacing w:afterLines="100" w:after="312" w:line="360" w:lineRule="auto"/>
        <w:jc w:val="center"/>
        <w:rPr>
          <w:rFonts w:ascii="方正小标宋简体" w:eastAsia="方正小标宋简体" w:hAnsi="方正大标宋简体" w:cs="方正大标宋简体"/>
          <w:color w:val="000000" w:themeColor="text1"/>
          <w:sz w:val="28"/>
          <w:szCs w:val="28"/>
        </w:rPr>
      </w:pPr>
      <w:r>
        <w:rPr>
          <w:rFonts w:ascii="方正小标宋简体" w:eastAsia="方正小标宋简体" w:hAnsi="方正大标宋简体" w:cs="方正大标宋简体" w:hint="eastAsia"/>
          <w:color w:val="000000" w:themeColor="text1"/>
          <w:sz w:val="28"/>
          <w:szCs w:val="28"/>
        </w:rPr>
        <w:t>各类会议（活动）审批部门</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一、一般工作会议：无</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二、形势报告会：宣传部</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三、哲学社会科学类学术讲座：科研处</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四、哲学社会科学类学术会议：科研处</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五、自然科学类学术讲座：科研处</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六、自然科学类学术会议：科研处</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七、教学活动：教务处</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八、本科生为主参加的非学术活动：学生处、团委</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九、研究生为主参加的非学术活动：研究生处</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十、有境外人士参加：同时报国际交流与合作处</w:t>
      </w:r>
    </w:p>
    <w:p w:rsidR="00E37845" w:rsidRDefault="00E22BDD">
      <w:pPr>
        <w:adjustRightInd w:val="0"/>
        <w:snapToGrid w:val="0"/>
        <w:spacing w:line="360" w:lineRule="auto"/>
        <w:ind w:firstLineChars="200" w:firstLine="480"/>
        <w:rPr>
          <w:rFonts w:ascii="仿宋_GB2312" w:eastAsia="仿宋_GB2312" w:hAnsi="仿宋_GB2312" w:cs="仿宋_GB2312"/>
          <w:color w:val="000000" w:themeColor="text1"/>
          <w:kern w:val="0"/>
          <w:sz w:val="24"/>
          <w:szCs w:val="24"/>
        </w:rPr>
      </w:pPr>
      <w:r>
        <w:rPr>
          <w:rFonts w:ascii="仿宋_GB2312" w:eastAsia="仿宋_GB2312" w:hAnsi="仿宋_GB2312" w:cs="仿宋_GB2312"/>
          <w:color w:val="000000" w:themeColor="text1"/>
          <w:kern w:val="0"/>
          <w:sz w:val="24"/>
          <w:szCs w:val="24"/>
        </w:rPr>
        <w:t>十一、是否邀请校外媒体采访：宣传部</w:t>
      </w:r>
    </w:p>
    <w:p w:rsidR="00E37845" w:rsidRDefault="00E37845">
      <w:pPr>
        <w:adjustRightInd w:val="0"/>
        <w:snapToGrid w:val="0"/>
        <w:spacing w:line="360" w:lineRule="auto"/>
        <w:rPr>
          <w:rFonts w:ascii="仿宋_GB2312" w:eastAsia="仿宋_GB2312" w:hAnsi="仿宋_GB2312" w:cs="仿宋_GB2312"/>
          <w:color w:val="000000" w:themeColor="text1"/>
          <w:sz w:val="24"/>
          <w:szCs w:val="24"/>
        </w:rPr>
      </w:pPr>
    </w:p>
    <w:sectPr w:rsidR="00E37845">
      <w:headerReference w:type="default" r:id="rId53"/>
      <w:footerReference w:type="even" r:id="rId54"/>
      <w:footerReference w:type="default" r:id="rId55"/>
      <w:headerReference w:type="first" r:id="rId56"/>
      <w:pgSz w:w="11906" w:h="16838"/>
      <w:pgMar w:top="1440" w:right="1417" w:bottom="1440" w:left="1474"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499F" w:rsidRDefault="001B499F">
      <w:r>
        <w:separator/>
      </w:r>
    </w:p>
  </w:endnote>
  <w:endnote w:type="continuationSeparator" w:id="0">
    <w:p w:rsidR="001B499F" w:rsidRDefault="001B4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大标宋简体">
    <w:altName w:val="微软雅黑"/>
    <w:charset w:val="86"/>
    <w:family w:val="script"/>
    <w:pitch w:val="default"/>
    <w:sig w:usb0="00000001" w:usb1="080E0000" w:usb2="00000000" w:usb3="00000000" w:csb0="00040000" w:csb1="00000000"/>
  </w:font>
  <w:font w:name="KFFJMC+FZXBSJW--GB1-0,Bold">
    <w:altName w:val="Times New Roman"/>
    <w:charset w:val="01"/>
    <w:family w:val="auto"/>
    <w:pitch w:val="default"/>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845" w:rsidRDefault="001B499F">
    <w:pPr>
      <w:pStyle w:val="aa"/>
    </w:pPr>
    <w:r>
      <w:pict>
        <v:shapetype id="_x0000_t202" coordsize="21600,21600" o:spt="202" path="m,l,21600r21600,l21600,xe">
          <v:stroke joinstyle="miter"/>
          <v:path gradientshapeok="t" o:connecttype="rect"/>
        </v:shapetype>
        <v:shape id="_x0000_s2054" type="#_x0000_t202" style="position:absolute;margin-left:0;margin-top:0;width:2in;height:2in;z-index:251658240;mso-wrap-style:none;mso-position-horizontal:center;mso-position-horizontal-relative:margin;mso-width-relative:page;mso-height-relative:page" filled="f" stroked="f">
          <v:textbox style="mso-fit-shape-to-text:t" inset="0,0,0,0">
            <w:txbxContent>
              <w:p w:rsidR="00E37845" w:rsidRDefault="00E22BDD">
                <w:pPr>
                  <w:pStyle w:val="aa"/>
                </w:pPr>
                <w:r>
                  <w:rPr>
                    <w:rFonts w:ascii="黑体" w:eastAsia="黑体" w:hAnsi="黑体" w:cs="黑体" w:hint="eastAsia"/>
                  </w:rPr>
                  <w:fldChar w:fldCharType="begin"/>
                </w:r>
                <w:r>
                  <w:rPr>
                    <w:rFonts w:ascii="黑体" w:eastAsia="黑体" w:hAnsi="黑体" w:cs="黑体" w:hint="eastAsia"/>
                  </w:rPr>
                  <w:instrText xml:space="preserve"> PAGE  \* MERGEFORMAT </w:instrText>
                </w:r>
                <w:r>
                  <w:rPr>
                    <w:rFonts w:ascii="黑体" w:eastAsia="黑体" w:hAnsi="黑体" w:cs="黑体" w:hint="eastAsia"/>
                  </w:rPr>
                  <w:fldChar w:fldCharType="separate"/>
                </w:r>
                <w:r>
                  <w:rPr>
                    <w:rFonts w:ascii="黑体" w:eastAsia="黑体" w:hAnsi="黑体" w:cs="黑体" w:hint="eastAsia"/>
                  </w:rPr>
                  <w:t>- 1 -</w:t>
                </w:r>
                <w:r>
                  <w:rPr>
                    <w:rFonts w:ascii="黑体" w:eastAsia="黑体" w:hAnsi="黑体" w:cs="黑体" w:hint="eastAsia"/>
                  </w:rP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845" w:rsidRDefault="00E22BDD">
    <w:pPr>
      <w:pStyle w:val="aa"/>
      <w:framePr w:wrap="around" w:vAnchor="text" w:hAnchor="margin" w:xAlign="outside" w:y="1"/>
      <w:rPr>
        <w:rStyle w:val="af1"/>
      </w:rPr>
    </w:pPr>
    <w:r>
      <w:fldChar w:fldCharType="begin"/>
    </w:r>
    <w:r>
      <w:rPr>
        <w:rStyle w:val="af1"/>
      </w:rPr>
      <w:instrText xml:space="preserve">PAGE  </w:instrText>
    </w:r>
    <w:r>
      <w:fldChar w:fldCharType="separate"/>
    </w:r>
    <w:r>
      <w:rPr>
        <w:rStyle w:val="af1"/>
      </w:rPr>
      <w:t>- 1 -</w:t>
    </w:r>
    <w:r>
      <w:fldChar w:fldCharType="end"/>
    </w:r>
  </w:p>
  <w:p w:rsidR="00E37845" w:rsidRDefault="00E37845">
    <w:pPr>
      <w:pStyle w:val="aa"/>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845" w:rsidRDefault="001B499F">
    <w:pPr>
      <w:pStyle w:val="aa"/>
      <w:ind w:right="360" w:firstLine="360"/>
    </w:pPr>
    <w:r>
      <w:rPr>
        <w:sz w:val="28"/>
      </w:rPr>
      <w:pict>
        <v:shapetype id="_x0000_t202" coordsize="21600,21600" o:spt="202" path="m,l,21600r21600,l21600,xe">
          <v:stroke joinstyle="miter"/>
          <v:path gradientshapeok="t" o:connecttype="rect"/>
        </v:shapetype>
        <v:shape id="_x0000_s2055" type="#_x0000_t202" style="position:absolute;left:0;text-align:left;margin-left:0;margin-top:0;width:2in;height:2in;z-index:251659264;mso-wrap-style:none;mso-position-horizontal:center;mso-position-horizontal-relative:margin;mso-width-relative:page;mso-height-relative:page" filled="f" stroked="f">
          <v:textbox style="mso-fit-shape-to-text:t" inset="0,0,0,0">
            <w:txbxContent>
              <w:p w:rsidR="00E37845" w:rsidRDefault="00E22BDD">
                <w:pPr>
                  <w:pStyle w:val="aa"/>
                </w:pPr>
                <w:r>
                  <w:rPr>
                    <w:rFonts w:ascii="黑体" w:eastAsia="黑体" w:hAnsi="黑体" w:cs="黑体" w:hint="eastAsia"/>
                  </w:rPr>
                  <w:fldChar w:fldCharType="begin"/>
                </w:r>
                <w:r>
                  <w:rPr>
                    <w:rFonts w:ascii="黑体" w:eastAsia="黑体" w:hAnsi="黑体" w:cs="黑体" w:hint="eastAsia"/>
                  </w:rPr>
                  <w:instrText xml:space="preserve"> PAGE  \* MERGEFORMAT </w:instrText>
                </w:r>
                <w:r>
                  <w:rPr>
                    <w:rFonts w:ascii="黑体" w:eastAsia="黑体" w:hAnsi="黑体" w:cs="黑体" w:hint="eastAsia"/>
                  </w:rPr>
                  <w:fldChar w:fldCharType="separate"/>
                </w:r>
                <w:r>
                  <w:rPr>
                    <w:rFonts w:ascii="黑体" w:eastAsia="黑体" w:hAnsi="黑体" w:cs="黑体" w:hint="eastAsia"/>
                  </w:rPr>
                  <w:t>- 81 -</w:t>
                </w:r>
                <w:r>
                  <w:rPr>
                    <w:rFonts w:ascii="黑体" w:eastAsia="黑体" w:hAnsi="黑体" w:cs="黑体" w:hint="eastAsia"/>
                  </w:rPr>
                  <w:fldChar w:fldCharType="end"/>
                </w:r>
              </w:p>
            </w:txbxContent>
          </v:textbox>
          <w10:wrap anchorx="margin"/>
        </v:shape>
      </w:pict>
    </w:r>
    <w:r>
      <w:rPr>
        <w:sz w:val="28"/>
      </w:rPr>
      <w:pict>
        <v:shape id="文本框 20" o:spid="_x0000_s2049" type="#_x0000_t202" style="position:absolute;left:0;text-align:left;margin-left:0;margin-top:0;width:2in;height:2in;z-index:251657216;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GgRo/gbAgAAJAQAAA4A&#10;AAAAAAAAAQAgAAAAHwEAAGRycy9lMm9Eb2MueG1sUEsFBgAAAAAGAAYAWQEAAKwFAAAAAA==&#10;" filled="f" stroked="f" strokeweight=".5pt">
          <v:textbox style="mso-fit-shape-to-text:t" inset="0,0,0,0">
            <w:txbxContent>
              <w:p w:rsidR="00E37845" w:rsidRDefault="00E37845">
                <w:pPr>
                  <w:pStyle w:val="aa"/>
                </w:pPr>
              </w:p>
              <w:p w:rsidR="00E37845" w:rsidRDefault="00E37845"/>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499F" w:rsidRDefault="001B499F">
      <w:r>
        <w:separator/>
      </w:r>
    </w:p>
  </w:footnote>
  <w:footnote w:type="continuationSeparator" w:id="0">
    <w:p w:rsidR="001B499F" w:rsidRDefault="001B49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845" w:rsidRDefault="00E37845">
    <w:pPr>
      <w:pStyle w:val="ab"/>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845" w:rsidRDefault="00E37845">
    <w:pPr>
      <w:pStyle w:val="ab"/>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EBF5E77"/>
    <w:multiLevelType w:val="singleLevel"/>
    <w:tmpl w:val="BEBF5E77"/>
    <w:lvl w:ilvl="0">
      <w:start w:val="1"/>
      <w:numFmt w:val="lowerLetter"/>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documentProtection w:edit="forms" w:formatting="1" w:enforcement="1" w:cryptProviderType="rsaAES" w:cryptAlgorithmClass="hash" w:cryptAlgorithmType="typeAny" w:cryptAlgorithmSid="14" w:cryptSpinCount="100000" w:hash="Y3VNUCfgOKM19SFZlNfy0+YaYTkFqYant7LUeKHd7BJ+ZHt53Yh8MraoeFgBNR6Dva8Y+DSs0QPTUigzrXIgwg==" w:salt="iM60Wx/mDemac7Dp4S8gbg=="/>
  <w:defaultTabStop w:val="420"/>
  <w:drawingGridVerticalSpacing w:val="156"/>
  <w:displayHorizontalDrawingGridEvery w:val="0"/>
  <w:displayVerticalDrawingGridEvery w:val="2"/>
  <w:characterSpacingControl w:val="compressPunctuation"/>
  <w:hdrShapeDefaults>
    <o:shapedefaults v:ext="edit" spidmax="2056"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2D6857"/>
    <w:rsid w:val="000047A7"/>
    <w:rsid w:val="00016102"/>
    <w:rsid w:val="000229F9"/>
    <w:rsid w:val="00033905"/>
    <w:rsid w:val="000434B4"/>
    <w:rsid w:val="00051024"/>
    <w:rsid w:val="00054105"/>
    <w:rsid w:val="000551B1"/>
    <w:rsid w:val="000604A9"/>
    <w:rsid w:val="00070E03"/>
    <w:rsid w:val="000716DF"/>
    <w:rsid w:val="000927B4"/>
    <w:rsid w:val="000A004B"/>
    <w:rsid w:val="000B6416"/>
    <w:rsid w:val="000F5EEB"/>
    <w:rsid w:val="00103BCD"/>
    <w:rsid w:val="001067B4"/>
    <w:rsid w:val="00107314"/>
    <w:rsid w:val="0012197B"/>
    <w:rsid w:val="00122F55"/>
    <w:rsid w:val="00141F6B"/>
    <w:rsid w:val="00193035"/>
    <w:rsid w:val="001A4122"/>
    <w:rsid w:val="001B05F9"/>
    <w:rsid w:val="001B499F"/>
    <w:rsid w:val="001B6EE6"/>
    <w:rsid w:val="001B6F27"/>
    <w:rsid w:val="001D657B"/>
    <w:rsid w:val="001F68AD"/>
    <w:rsid w:val="002048CF"/>
    <w:rsid w:val="00213160"/>
    <w:rsid w:val="00241780"/>
    <w:rsid w:val="00245B07"/>
    <w:rsid w:val="0024655E"/>
    <w:rsid w:val="00294833"/>
    <w:rsid w:val="002A3F90"/>
    <w:rsid w:val="002A45E2"/>
    <w:rsid w:val="002A5146"/>
    <w:rsid w:val="002D53E8"/>
    <w:rsid w:val="002D6857"/>
    <w:rsid w:val="002D720D"/>
    <w:rsid w:val="002E50F0"/>
    <w:rsid w:val="00306168"/>
    <w:rsid w:val="00313151"/>
    <w:rsid w:val="00313991"/>
    <w:rsid w:val="0032563E"/>
    <w:rsid w:val="003340C4"/>
    <w:rsid w:val="0033713B"/>
    <w:rsid w:val="003412CA"/>
    <w:rsid w:val="00360F4E"/>
    <w:rsid w:val="00366321"/>
    <w:rsid w:val="00366D0A"/>
    <w:rsid w:val="00372E45"/>
    <w:rsid w:val="00374753"/>
    <w:rsid w:val="00397414"/>
    <w:rsid w:val="003A0CAF"/>
    <w:rsid w:val="003A4E95"/>
    <w:rsid w:val="003A7854"/>
    <w:rsid w:val="003C4B73"/>
    <w:rsid w:val="003D3A3C"/>
    <w:rsid w:val="003F4CA6"/>
    <w:rsid w:val="004020CE"/>
    <w:rsid w:val="00425A75"/>
    <w:rsid w:val="00443021"/>
    <w:rsid w:val="0045489A"/>
    <w:rsid w:val="00471948"/>
    <w:rsid w:val="00475883"/>
    <w:rsid w:val="00480AB7"/>
    <w:rsid w:val="00483390"/>
    <w:rsid w:val="004840B0"/>
    <w:rsid w:val="00484AD3"/>
    <w:rsid w:val="004B37AD"/>
    <w:rsid w:val="004B4D5E"/>
    <w:rsid w:val="004D56DE"/>
    <w:rsid w:val="004F027A"/>
    <w:rsid w:val="004F6E0F"/>
    <w:rsid w:val="00511F98"/>
    <w:rsid w:val="00535EC2"/>
    <w:rsid w:val="0054580C"/>
    <w:rsid w:val="00556441"/>
    <w:rsid w:val="00564B91"/>
    <w:rsid w:val="00580446"/>
    <w:rsid w:val="00580A47"/>
    <w:rsid w:val="00583FC7"/>
    <w:rsid w:val="0058755A"/>
    <w:rsid w:val="00595BBA"/>
    <w:rsid w:val="00596010"/>
    <w:rsid w:val="005B0FEB"/>
    <w:rsid w:val="005C02AE"/>
    <w:rsid w:val="005C2738"/>
    <w:rsid w:val="005C6878"/>
    <w:rsid w:val="005D0571"/>
    <w:rsid w:val="005D085E"/>
    <w:rsid w:val="005F1FF8"/>
    <w:rsid w:val="005F540D"/>
    <w:rsid w:val="00631045"/>
    <w:rsid w:val="0063583E"/>
    <w:rsid w:val="0063699D"/>
    <w:rsid w:val="00637977"/>
    <w:rsid w:val="00661514"/>
    <w:rsid w:val="00667BB2"/>
    <w:rsid w:val="006714AC"/>
    <w:rsid w:val="006754AE"/>
    <w:rsid w:val="00684F7F"/>
    <w:rsid w:val="006B7676"/>
    <w:rsid w:val="006C0A00"/>
    <w:rsid w:val="006C467E"/>
    <w:rsid w:val="006C6E8F"/>
    <w:rsid w:val="00701504"/>
    <w:rsid w:val="0070362D"/>
    <w:rsid w:val="00704B20"/>
    <w:rsid w:val="0072763E"/>
    <w:rsid w:val="00727D15"/>
    <w:rsid w:val="00735421"/>
    <w:rsid w:val="00737C9D"/>
    <w:rsid w:val="007571A2"/>
    <w:rsid w:val="007577CE"/>
    <w:rsid w:val="00771764"/>
    <w:rsid w:val="00774B47"/>
    <w:rsid w:val="00792DAF"/>
    <w:rsid w:val="007A4474"/>
    <w:rsid w:val="007A4C5F"/>
    <w:rsid w:val="007B0CDE"/>
    <w:rsid w:val="007B3587"/>
    <w:rsid w:val="007E09C0"/>
    <w:rsid w:val="007E2F51"/>
    <w:rsid w:val="007F2682"/>
    <w:rsid w:val="007F3E4C"/>
    <w:rsid w:val="007F6B7B"/>
    <w:rsid w:val="0080257C"/>
    <w:rsid w:val="0080597C"/>
    <w:rsid w:val="00811878"/>
    <w:rsid w:val="00811967"/>
    <w:rsid w:val="00811C4F"/>
    <w:rsid w:val="0082465D"/>
    <w:rsid w:val="00861C70"/>
    <w:rsid w:val="00877A89"/>
    <w:rsid w:val="00886D49"/>
    <w:rsid w:val="008C2486"/>
    <w:rsid w:val="008D2553"/>
    <w:rsid w:val="008D322C"/>
    <w:rsid w:val="008D7654"/>
    <w:rsid w:val="008D78BE"/>
    <w:rsid w:val="0090089F"/>
    <w:rsid w:val="00915886"/>
    <w:rsid w:val="00977282"/>
    <w:rsid w:val="00980D49"/>
    <w:rsid w:val="0098581B"/>
    <w:rsid w:val="00993B4E"/>
    <w:rsid w:val="009B6E30"/>
    <w:rsid w:val="009C1510"/>
    <w:rsid w:val="009E67E8"/>
    <w:rsid w:val="009F37FD"/>
    <w:rsid w:val="00A009EB"/>
    <w:rsid w:val="00A04816"/>
    <w:rsid w:val="00A12EBD"/>
    <w:rsid w:val="00A34C59"/>
    <w:rsid w:val="00A40EB3"/>
    <w:rsid w:val="00A418FE"/>
    <w:rsid w:val="00A42122"/>
    <w:rsid w:val="00A42506"/>
    <w:rsid w:val="00A66577"/>
    <w:rsid w:val="00A70B0B"/>
    <w:rsid w:val="00A723FD"/>
    <w:rsid w:val="00A865FD"/>
    <w:rsid w:val="00AA1B03"/>
    <w:rsid w:val="00AD0A78"/>
    <w:rsid w:val="00AD227C"/>
    <w:rsid w:val="00AF3BEE"/>
    <w:rsid w:val="00AF6C3D"/>
    <w:rsid w:val="00B0474A"/>
    <w:rsid w:val="00B20120"/>
    <w:rsid w:val="00B21A94"/>
    <w:rsid w:val="00B3086A"/>
    <w:rsid w:val="00B33D65"/>
    <w:rsid w:val="00B459DB"/>
    <w:rsid w:val="00B463C2"/>
    <w:rsid w:val="00B50B27"/>
    <w:rsid w:val="00B72B1D"/>
    <w:rsid w:val="00BA1689"/>
    <w:rsid w:val="00BA39FE"/>
    <w:rsid w:val="00BB1735"/>
    <w:rsid w:val="00BB3CBC"/>
    <w:rsid w:val="00BB60E7"/>
    <w:rsid w:val="00BC2597"/>
    <w:rsid w:val="00BD2CA8"/>
    <w:rsid w:val="00BE1D1B"/>
    <w:rsid w:val="00BF64A3"/>
    <w:rsid w:val="00C0333B"/>
    <w:rsid w:val="00C07E8A"/>
    <w:rsid w:val="00C11B37"/>
    <w:rsid w:val="00C25338"/>
    <w:rsid w:val="00C259BB"/>
    <w:rsid w:val="00C31A59"/>
    <w:rsid w:val="00C533C4"/>
    <w:rsid w:val="00C56B71"/>
    <w:rsid w:val="00C74357"/>
    <w:rsid w:val="00C96D2C"/>
    <w:rsid w:val="00CA1C23"/>
    <w:rsid w:val="00CD70ED"/>
    <w:rsid w:val="00CF11D7"/>
    <w:rsid w:val="00CF3C92"/>
    <w:rsid w:val="00CF6773"/>
    <w:rsid w:val="00CF7B93"/>
    <w:rsid w:val="00D001B6"/>
    <w:rsid w:val="00D150A5"/>
    <w:rsid w:val="00D353AA"/>
    <w:rsid w:val="00D4505A"/>
    <w:rsid w:val="00D53E6A"/>
    <w:rsid w:val="00D550DB"/>
    <w:rsid w:val="00D66FB2"/>
    <w:rsid w:val="00DA7DA7"/>
    <w:rsid w:val="00DB14C8"/>
    <w:rsid w:val="00DB3CE3"/>
    <w:rsid w:val="00DD0845"/>
    <w:rsid w:val="00DF69C5"/>
    <w:rsid w:val="00E015DF"/>
    <w:rsid w:val="00E22BDD"/>
    <w:rsid w:val="00E24B03"/>
    <w:rsid w:val="00E26FAB"/>
    <w:rsid w:val="00E37845"/>
    <w:rsid w:val="00E41E26"/>
    <w:rsid w:val="00E459EE"/>
    <w:rsid w:val="00E61C2A"/>
    <w:rsid w:val="00E67E58"/>
    <w:rsid w:val="00EB3431"/>
    <w:rsid w:val="00EB71F3"/>
    <w:rsid w:val="00ED15C4"/>
    <w:rsid w:val="00EE765C"/>
    <w:rsid w:val="00F02E1C"/>
    <w:rsid w:val="00F033B2"/>
    <w:rsid w:val="00F070AC"/>
    <w:rsid w:val="00F1751D"/>
    <w:rsid w:val="00F2123E"/>
    <w:rsid w:val="00F43679"/>
    <w:rsid w:val="00F459CD"/>
    <w:rsid w:val="00F77C6D"/>
    <w:rsid w:val="00F927C0"/>
    <w:rsid w:val="00FA1A09"/>
    <w:rsid w:val="00FB4DB8"/>
    <w:rsid w:val="00FC11B9"/>
    <w:rsid w:val="00FC1ED5"/>
    <w:rsid w:val="00FD720C"/>
    <w:rsid w:val="00FE3205"/>
    <w:rsid w:val="00FE66CF"/>
    <w:rsid w:val="01152D0D"/>
    <w:rsid w:val="012A5BCB"/>
    <w:rsid w:val="0173240A"/>
    <w:rsid w:val="018D7BF7"/>
    <w:rsid w:val="018E435D"/>
    <w:rsid w:val="02CB002F"/>
    <w:rsid w:val="03243907"/>
    <w:rsid w:val="041266A0"/>
    <w:rsid w:val="04523394"/>
    <w:rsid w:val="04E62D1A"/>
    <w:rsid w:val="052A6A74"/>
    <w:rsid w:val="05804E9F"/>
    <w:rsid w:val="059C302D"/>
    <w:rsid w:val="059C4753"/>
    <w:rsid w:val="06727BF9"/>
    <w:rsid w:val="06D42BA8"/>
    <w:rsid w:val="06E142A1"/>
    <w:rsid w:val="06E864D5"/>
    <w:rsid w:val="07047BD0"/>
    <w:rsid w:val="083D543E"/>
    <w:rsid w:val="088150A9"/>
    <w:rsid w:val="08872DA4"/>
    <w:rsid w:val="09456912"/>
    <w:rsid w:val="0B370F77"/>
    <w:rsid w:val="0BC17007"/>
    <w:rsid w:val="0CDA33FE"/>
    <w:rsid w:val="0D891465"/>
    <w:rsid w:val="0D950D51"/>
    <w:rsid w:val="0DE369A4"/>
    <w:rsid w:val="0E1776FF"/>
    <w:rsid w:val="0E1C2625"/>
    <w:rsid w:val="0E1D1D19"/>
    <w:rsid w:val="0E306DAE"/>
    <w:rsid w:val="0E923FF1"/>
    <w:rsid w:val="0EE7738A"/>
    <w:rsid w:val="0EF55F0E"/>
    <w:rsid w:val="0F000A8E"/>
    <w:rsid w:val="0F1F5AFB"/>
    <w:rsid w:val="0F567B1D"/>
    <w:rsid w:val="0F806ABE"/>
    <w:rsid w:val="10135F40"/>
    <w:rsid w:val="10A84869"/>
    <w:rsid w:val="10A90B60"/>
    <w:rsid w:val="10F61CE3"/>
    <w:rsid w:val="110E4053"/>
    <w:rsid w:val="11CE033E"/>
    <w:rsid w:val="13120617"/>
    <w:rsid w:val="13140A9C"/>
    <w:rsid w:val="13BE0B00"/>
    <w:rsid w:val="143F7773"/>
    <w:rsid w:val="14B2507A"/>
    <w:rsid w:val="14E41A99"/>
    <w:rsid w:val="1507601B"/>
    <w:rsid w:val="155E6AA9"/>
    <w:rsid w:val="15B2142E"/>
    <w:rsid w:val="15BF52C3"/>
    <w:rsid w:val="15FA21E3"/>
    <w:rsid w:val="165122C0"/>
    <w:rsid w:val="169D7E8C"/>
    <w:rsid w:val="16D74920"/>
    <w:rsid w:val="17AC6F64"/>
    <w:rsid w:val="17E13288"/>
    <w:rsid w:val="185F6AC6"/>
    <w:rsid w:val="18CB71AF"/>
    <w:rsid w:val="19197BCE"/>
    <w:rsid w:val="19DF5ABC"/>
    <w:rsid w:val="1A156B48"/>
    <w:rsid w:val="1A4A2A75"/>
    <w:rsid w:val="1A89697B"/>
    <w:rsid w:val="1B42075F"/>
    <w:rsid w:val="1B5D699F"/>
    <w:rsid w:val="1CEE3CF8"/>
    <w:rsid w:val="1CF55AB4"/>
    <w:rsid w:val="1DDC4BC2"/>
    <w:rsid w:val="1E70729C"/>
    <w:rsid w:val="1EAB1EB8"/>
    <w:rsid w:val="1F260F8C"/>
    <w:rsid w:val="1FCC6596"/>
    <w:rsid w:val="20244056"/>
    <w:rsid w:val="20AC57AB"/>
    <w:rsid w:val="213F0585"/>
    <w:rsid w:val="218C23C5"/>
    <w:rsid w:val="221C7854"/>
    <w:rsid w:val="224425BE"/>
    <w:rsid w:val="22540208"/>
    <w:rsid w:val="22873988"/>
    <w:rsid w:val="22CA6FA8"/>
    <w:rsid w:val="23133355"/>
    <w:rsid w:val="234323CE"/>
    <w:rsid w:val="234B26DC"/>
    <w:rsid w:val="23A5169F"/>
    <w:rsid w:val="240A3302"/>
    <w:rsid w:val="24223294"/>
    <w:rsid w:val="242268F2"/>
    <w:rsid w:val="24486AF5"/>
    <w:rsid w:val="24B80C56"/>
    <w:rsid w:val="24F3785A"/>
    <w:rsid w:val="25597B85"/>
    <w:rsid w:val="26391F7E"/>
    <w:rsid w:val="266B72B9"/>
    <w:rsid w:val="274D07FF"/>
    <w:rsid w:val="283E37D7"/>
    <w:rsid w:val="28686DD0"/>
    <w:rsid w:val="286B74D5"/>
    <w:rsid w:val="28953004"/>
    <w:rsid w:val="2A285321"/>
    <w:rsid w:val="2A3F304E"/>
    <w:rsid w:val="2A855310"/>
    <w:rsid w:val="2AF61996"/>
    <w:rsid w:val="2BAB451E"/>
    <w:rsid w:val="2BB70D37"/>
    <w:rsid w:val="2BF12191"/>
    <w:rsid w:val="2C201971"/>
    <w:rsid w:val="2C424F9D"/>
    <w:rsid w:val="2D5428DA"/>
    <w:rsid w:val="2DB43729"/>
    <w:rsid w:val="2F0A0E77"/>
    <w:rsid w:val="2FF34B37"/>
    <w:rsid w:val="30492B13"/>
    <w:rsid w:val="304A28CD"/>
    <w:rsid w:val="305F631D"/>
    <w:rsid w:val="308C7C9A"/>
    <w:rsid w:val="30D11311"/>
    <w:rsid w:val="31541175"/>
    <w:rsid w:val="333403FD"/>
    <w:rsid w:val="336B515E"/>
    <w:rsid w:val="33C740AB"/>
    <w:rsid w:val="33D2337A"/>
    <w:rsid w:val="345B2D02"/>
    <w:rsid w:val="34CA60E0"/>
    <w:rsid w:val="34D969D5"/>
    <w:rsid w:val="34DA4187"/>
    <w:rsid w:val="358322BA"/>
    <w:rsid w:val="35A87A8C"/>
    <w:rsid w:val="362D23C3"/>
    <w:rsid w:val="36633E18"/>
    <w:rsid w:val="367D572C"/>
    <w:rsid w:val="373407CB"/>
    <w:rsid w:val="37694383"/>
    <w:rsid w:val="3786093C"/>
    <w:rsid w:val="37ED7085"/>
    <w:rsid w:val="38176A50"/>
    <w:rsid w:val="381F2F43"/>
    <w:rsid w:val="38757FC2"/>
    <w:rsid w:val="388670D9"/>
    <w:rsid w:val="395626CB"/>
    <w:rsid w:val="39656BA8"/>
    <w:rsid w:val="396F3674"/>
    <w:rsid w:val="397B020C"/>
    <w:rsid w:val="399737C4"/>
    <w:rsid w:val="39F22B28"/>
    <w:rsid w:val="3A427C4E"/>
    <w:rsid w:val="3A8635BD"/>
    <w:rsid w:val="3A8C0A01"/>
    <w:rsid w:val="3A9A1D2F"/>
    <w:rsid w:val="3ACB1703"/>
    <w:rsid w:val="3ACD01AB"/>
    <w:rsid w:val="3B1428F3"/>
    <w:rsid w:val="3B4D7E0A"/>
    <w:rsid w:val="3B872FDC"/>
    <w:rsid w:val="3B902EC1"/>
    <w:rsid w:val="3BB5477A"/>
    <w:rsid w:val="3BD947A4"/>
    <w:rsid w:val="3C1270F5"/>
    <w:rsid w:val="3C405F6F"/>
    <w:rsid w:val="3C523B94"/>
    <w:rsid w:val="3CC01F77"/>
    <w:rsid w:val="3CE30330"/>
    <w:rsid w:val="3D067567"/>
    <w:rsid w:val="3E3C521C"/>
    <w:rsid w:val="3F0B6BF5"/>
    <w:rsid w:val="3F431FB5"/>
    <w:rsid w:val="3FE35848"/>
    <w:rsid w:val="40243518"/>
    <w:rsid w:val="40AE46BE"/>
    <w:rsid w:val="40E74FBA"/>
    <w:rsid w:val="40F762B7"/>
    <w:rsid w:val="41891D02"/>
    <w:rsid w:val="41B067DB"/>
    <w:rsid w:val="42AA4586"/>
    <w:rsid w:val="42D71EA5"/>
    <w:rsid w:val="42DE228A"/>
    <w:rsid w:val="43127D48"/>
    <w:rsid w:val="432C2B37"/>
    <w:rsid w:val="432F2879"/>
    <w:rsid w:val="435D68F6"/>
    <w:rsid w:val="43D655E3"/>
    <w:rsid w:val="43D65634"/>
    <w:rsid w:val="44093F2B"/>
    <w:rsid w:val="44317F4A"/>
    <w:rsid w:val="44441944"/>
    <w:rsid w:val="448D30AC"/>
    <w:rsid w:val="44D66214"/>
    <w:rsid w:val="450F556F"/>
    <w:rsid w:val="45346845"/>
    <w:rsid w:val="45A80318"/>
    <w:rsid w:val="468C6FE5"/>
    <w:rsid w:val="46945D27"/>
    <w:rsid w:val="46B10570"/>
    <w:rsid w:val="476B2933"/>
    <w:rsid w:val="476D77BF"/>
    <w:rsid w:val="47BD28D0"/>
    <w:rsid w:val="47BE679C"/>
    <w:rsid w:val="47DF7EEC"/>
    <w:rsid w:val="4AE40CF2"/>
    <w:rsid w:val="4AFD4D79"/>
    <w:rsid w:val="4B457182"/>
    <w:rsid w:val="4B6D1B1F"/>
    <w:rsid w:val="4BF33578"/>
    <w:rsid w:val="4C1C4C7F"/>
    <w:rsid w:val="4C275F9A"/>
    <w:rsid w:val="4CF702A8"/>
    <w:rsid w:val="4DED1FCA"/>
    <w:rsid w:val="4DF567A0"/>
    <w:rsid w:val="4E5178F7"/>
    <w:rsid w:val="4E5F079E"/>
    <w:rsid w:val="4E7D080C"/>
    <w:rsid w:val="4FB96B35"/>
    <w:rsid w:val="517C28C3"/>
    <w:rsid w:val="5219477D"/>
    <w:rsid w:val="52FD1880"/>
    <w:rsid w:val="53364555"/>
    <w:rsid w:val="53371506"/>
    <w:rsid w:val="53584418"/>
    <w:rsid w:val="53E557A6"/>
    <w:rsid w:val="5437161C"/>
    <w:rsid w:val="549006C9"/>
    <w:rsid w:val="54AD22C3"/>
    <w:rsid w:val="54B546E7"/>
    <w:rsid w:val="552A56DC"/>
    <w:rsid w:val="55BE2248"/>
    <w:rsid w:val="560B53F7"/>
    <w:rsid w:val="564222B9"/>
    <w:rsid w:val="581B2AB9"/>
    <w:rsid w:val="59027137"/>
    <w:rsid w:val="59662D8C"/>
    <w:rsid w:val="59CE5D8A"/>
    <w:rsid w:val="59E425C3"/>
    <w:rsid w:val="59EE4550"/>
    <w:rsid w:val="5A4F3D2F"/>
    <w:rsid w:val="5AD6162C"/>
    <w:rsid w:val="5C323DE8"/>
    <w:rsid w:val="5CE65EE5"/>
    <w:rsid w:val="5D312BBB"/>
    <w:rsid w:val="5E1955A1"/>
    <w:rsid w:val="5E4F200F"/>
    <w:rsid w:val="5EE90416"/>
    <w:rsid w:val="5F7C12DA"/>
    <w:rsid w:val="5FFF5866"/>
    <w:rsid w:val="60057CC7"/>
    <w:rsid w:val="60C17C2A"/>
    <w:rsid w:val="60DA0C5E"/>
    <w:rsid w:val="616C2583"/>
    <w:rsid w:val="61767B19"/>
    <w:rsid w:val="61A700D8"/>
    <w:rsid w:val="6241723F"/>
    <w:rsid w:val="62E3570C"/>
    <w:rsid w:val="63386436"/>
    <w:rsid w:val="633B2AEA"/>
    <w:rsid w:val="633D169D"/>
    <w:rsid w:val="63561670"/>
    <w:rsid w:val="639B4C12"/>
    <w:rsid w:val="640E0436"/>
    <w:rsid w:val="64A50C09"/>
    <w:rsid w:val="64CB54AE"/>
    <w:rsid w:val="64CB6CB6"/>
    <w:rsid w:val="65224400"/>
    <w:rsid w:val="65344BE4"/>
    <w:rsid w:val="65660429"/>
    <w:rsid w:val="65AB0F4C"/>
    <w:rsid w:val="66B07BCA"/>
    <w:rsid w:val="66DA61F4"/>
    <w:rsid w:val="6754302C"/>
    <w:rsid w:val="678052E3"/>
    <w:rsid w:val="67811B62"/>
    <w:rsid w:val="681255A5"/>
    <w:rsid w:val="681B023F"/>
    <w:rsid w:val="68772E34"/>
    <w:rsid w:val="689C7B86"/>
    <w:rsid w:val="68AA2A74"/>
    <w:rsid w:val="68D972B0"/>
    <w:rsid w:val="69161738"/>
    <w:rsid w:val="69D81517"/>
    <w:rsid w:val="69F06323"/>
    <w:rsid w:val="6A6E1728"/>
    <w:rsid w:val="6AD4705F"/>
    <w:rsid w:val="6BD10617"/>
    <w:rsid w:val="6C705655"/>
    <w:rsid w:val="6D784D95"/>
    <w:rsid w:val="6D853179"/>
    <w:rsid w:val="6DCD0EED"/>
    <w:rsid w:val="6DD315F2"/>
    <w:rsid w:val="6E5D5BB9"/>
    <w:rsid w:val="6E8317BC"/>
    <w:rsid w:val="6F644404"/>
    <w:rsid w:val="6F820714"/>
    <w:rsid w:val="700D09D6"/>
    <w:rsid w:val="70D6074F"/>
    <w:rsid w:val="719072CC"/>
    <w:rsid w:val="71DF398D"/>
    <w:rsid w:val="720E0ED3"/>
    <w:rsid w:val="72664B42"/>
    <w:rsid w:val="726F2E41"/>
    <w:rsid w:val="72E93163"/>
    <w:rsid w:val="73016DC0"/>
    <w:rsid w:val="73557AD9"/>
    <w:rsid w:val="73AC4721"/>
    <w:rsid w:val="73D9619B"/>
    <w:rsid w:val="742E60E5"/>
    <w:rsid w:val="74534898"/>
    <w:rsid w:val="74842AFC"/>
    <w:rsid w:val="749A3F2C"/>
    <w:rsid w:val="74D32A3F"/>
    <w:rsid w:val="75EC3554"/>
    <w:rsid w:val="768135B3"/>
    <w:rsid w:val="7682021F"/>
    <w:rsid w:val="76AE3479"/>
    <w:rsid w:val="76DE21C7"/>
    <w:rsid w:val="76E209EB"/>
    <w:rsid w:val="773170AD"/>
    <w:rsid w:val="773F7144"/>
    <w:rsid w:val="779A23EE"/>
    <w:rsid w:val="779C0A1D"/>
    <w:rsid w:val="77B5796C"/>
    <w:rsid w:val="77C70DF7"/>
    <w:rsid w:val="77D4586B"/>
    <w:rsid w:val="77F62708"/>
    <w:rsid w:val="77F8255C"/>
    <w:rsid w:val="782460BE"/>
    <w:rsid w:val="78D87635"/>
    <w:rsid w:val="790971E9"/>
    <w:rsid w:val="7990266B"/>
    <w:rsid w:val="7A106CE4"/>
    <w:rsid w:val="7A556B5E"/>
    <w:rsid w:val="7A6731F5"/>
    <w:rsid w:val="7AE90F84"/>
    <w:rsid w:val="7BE55AA7"/>
    <w:rsid w:val="7C1A7F7B"/>
    <w:rsid w:val="7CDB4B30"/>
    <w:rsid w:val="7CFC61D0"/>
    <w:rsid w:val="7D1251D2"/>
    <w:rsid w:val="7D130ABC"/>
    <w:rsid w:val="7D1D1E17"/>
    <w:rsid w:val="7DE3789A"/>
    <w:rsid w:val="7E4237C0"/>
    <w:rsid w:val="7E7B1614"/>
    <w:rsid w:val="7EA01F7A"/>
    <w:rsid w:val="7EB82668"/>
    <w:rsid w:val="7EE250CB"/>
    <w:rsid w:val="7F321293"/>
    <w:rsid w:val="7FE96DC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6" fillcolor="white">
      <v:fill color="white"/>
    </o:shapedefaults>
    <o:shapelayout v:ext="edit">
      <o:idmap v:ext="edit" data="1"/>
      <o:rules v:ext="edit">
        <o:r id="V:Rule1" type="callout" idref="#圆角矩形标注 10"/>
        <o:r id="V:Rule2" type="callout" idref="#圆角矩形标注 9"/>
        <o:r id="V:Rule3" type="callout" idref="#圆角矩形标注 6"/>
        <o:r id="V:Rule4" type="callout" idref="#圆角矩形标注 7"/>
        <o:r id="V:Rule5" type="callout" idref="#自选图形 234"/>
        <o:r id="V:Rule6" type="callout" idref="#圆角矩形标注 6"/>
        <o:r id="V:Rule7" type="connector" idref="#_x0000_s1198"/>
        <o:r id="V:Rule8" type="connector" idref="#_x0000_s1177"/>
        <o:r id="V:Rule9" type="connector" idref="#_x0000_s1180"/>
        <o:r id="V:Rule10" type="connector" idref="#直接箭头连接符 5"/>
        <o:r id="V:Rule11" type="connector" idref="#_x0000_s1185"/>
        <o:r id="V:Rule12" type="connector" idref="#_x0000_s1200"/>
        <o:r id="V:Rule13" type="connector" idref="#_x0000_s1176"/>
        <o:r id="V:Rule14" type="connector" idref="#_x0000_s1173"/>
        <o:r id="V:Rule15" type="connector" idref="#_x0000_s1204"/>
        <o:r id="V:Rule16" type="connector" idref="#_x0000_s1178"/>
        <o:r id="V:Rule17" type="connector" idref="#_x0000_s1201"/>
        <o:r id="V:Rule18" type="connector" idref="#_x0000_s1194"/>
        <o:r id="V:Rule19" type="connector" idref="#_x0000_s1192"/>
        <o:r id="V:Rule20" type="connector" idref="#_x0000_s1183"/>
        <o:r id="V:Rule21" type="connector" idref="#_x0000_s1202"/>
        <o:r id="V:Rule22" type="connector" idref="#_x0000_s1174"/>
        <o:r id="V:Rule23" type="connector" idref="#_x0000_s1199"/>
        <o:r id="V:Rule24" type="connector" idref="#_x0000_s1193"/>
        <o:r id="V:Rule25" type="connector" idref="#_x0000_s1203"/>
        <o:r id="V:Rule26" type="connector" idref="#直接箭头连接符 3"/>
        <o:r id="V:Rule27" type="connector" idref="#_x0000_s1181"/>
        <o:r id="V:Rule28" type="connector" idref="#_x0000_s1179"/>
        <o:r id="V:Rule29" type="connector" idref="#_x0000_s1182"/>
        <o:r id="V:Rule30" type="connector" idref="#_x0000_s1175"/>
        <o:r id="V:Rule31" type="connector" idref="#_x0000_s1187"/>
      </o:rules>
    </o:shapelayout>
  </w:shapeDefaults>
  <w:decimalSymbol w:val="."/>
  <w:listSeparator w:val=","/>
  <w15:docId w15:val="{5813A209-D194-4056-9812-C41368530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Calibri" w:eastAsia="宋体" w:hAnsi="Calibri" w:cs="Times New Roman"/>
      <w:kern w:val="2"/>
      <w:sz w:val="21"/>
      <w:szCs w:val="21"/>
    </w:rPr>
  </w:style>
  <w:style w:type="paragraph" w:styleId="1">
    <w:name w:val="heading 1"/>
    <w:basedOn w:val="a"/>
    <w:next w:val="a"/>
    <w:link w:val="10"/>
    <w:uiPriority w:val="9"/>
    <w:qFormat/>
    <w:pPr>
      <w:keepNext/>
      <w:keepLines/>
      <w:spacing w:before="20" w:after="20"/>
      <w:outlineLvl w:val="0"/>
    </w:pPr>
    <w:rPr>
      <w:rFonts w:eastAsia="黑体"/>
      <w:b/>
      <w:bCs/>
      <w:kern w:val="44"/>
      <w:sz w:val="32"/>
      <w:szCs w:val="44"/>
    </w:rPr>
  </w:style>
  <w:style w:type="paragraph" w:styleId="2">
    <w:name w:val="heading 2"/>
    <w:basedOn w:val="a"/>
    <w:next w:val="a"/>
    <w:link w:val="20"/>
    <w:uiPriority w:val="99"/>
    <w:qFormat/>
    <w:pPr>
      <w:keepNext/>
      <w:keepLines/>
      <w:spacing w:beforeLines="100" w:afterLines="100" w:line="415" w:lineRule="auto"/>
      <w:jc w:val="center"/>
      <w:outlineLvl w:val="1"/>
    </w:pPr>
    <w:rPr>
      <w:rFonts w:ascii="Cambria" w:hAnsi="Cambria"/>
      <w:b/>
      <w:bCs/>
      <w:sz w:val="32"/>
      <w:szCs w:val="32"/>
    </w:rPr>
  </w:style>
  <w:style w:type="paragraph" w:styleId="3">
    <w:name w:val="heading 3"/>
    <w:basedOn w:val="a"/>
    <w:next w:val="a"/>
    <w:uiPriority w:val="9"/>
    <w:semiHidden/>
    <w:unhideWhenUsed/>
    <w:qFormat/>
    <w:pPr>
      <w:keepNext/>
      <w:keepLines/>
      <w:spacing w:line="413" w:lineRule="auto"/>
      <w:outlineLvl w:val="2"/>
    </w:pPr>
    <w:rPr>
      <w:b/>
      <w:sz w:val="32"/>
    </w:rPr>
  </w:style>
  <w:style w:type="paragraph" w:styleId="4">
    <w:name w:val="heading 4"/>
    <w:basedOn w:val="a"/>
    <w:next w:val="a"/>
    <w:uiPriority w:val="9"/>
    <w:semiHidden/>
    <w:unhideWhenUsed/>
    <w:qFormat/>
    <w:pPr>
      <w:keepNext/>
      <w:keepLines/>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caption"/>
    <w:basedOn w:val="a"/>
    <w:next w:val="a"/>
    <w:uiPriority w:val="99"/>
    <w:qFormat/>
    <w:pPr>
      <w:spacing w:beforeLines="100" w:afterLines="100"/>
      <w:jc w:val="center"/>
    </w:pPr>
    <w:rPr>
      <w:rFonts w:ascii="Cambria" w:eastAsia="黑体" w:hAnsi="Cambria"/>
      <w:sz w:val="20"/>
      <w:szCs w:val="20"/>
    </w:rPr>
  </w:style>
  <w:style w:type="paragraph" w:styleId="a4">
    <w:name w:val="annotation text"/>
    <w:basedOn w:val="a"/>
    <w:link w:val="a5"/>
    <w:uiPriority w:val="99"/>
    <w:semiHidden/>
    <w:unhideWhenUsed/>
    <w:qFormat/>
    <w:pPr>
      <w:jc w:val="left"/>
    </w:pPr>
  </w:style>
  <w:style w:type="paragraph" w:styleId="30">
    <w:name w:val="Body Text 3"/>
    <w:basedOn w:val="a"/>
    <w:link w:val="31"/>
    <w:qFormat/>
    <w:pPr>
      <w:spacing w:after="120"/>
    </w:pPr>
    <w:rPr>
      <w:rFonts w:ascii="Times New Roman" w:hAnsi="Times New Roman"/>
      <w:sz w:val="16"/>
      <w:szCs w:val="16"/>
    </w:rPr>
  </w:style>
  <w:style w:type="paragraph" w:styleId="TOC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TOC3">
    <w:name w:val="toc 3"/>
    <w:basedOn w:val="a"/>
    <w:next w:val="a"/>
    <w:uiPriority w:val="39"/>
    <w:unhideWhenUsed/>
    <w:qFormat/>
    <w:pPr>
      <w:ind w:leftChars="400" w:left="840"/>
    </w:pPr>
    <w:rPr>
      <w:rFonts w:asciiTheme="minorHAnsi" w:eastAsiaTheme="minorEastAsia" w:hAnsiTheme="minorHAnsi" w:cstheme="minorBidi"/>
      <w:szCs w:val="22"/>
    </w:rPr>
  </w:style>
  <w:style w:type="paragraph" w:styleId="a6">
    <w:name w:val="Plain Text"/>
    <w:basedOn w:val="a"/>
    <w:link w:val="a7"/>
    <w:uiPriority w:val="99"/>
    <w:unhideWhenUsed/>
    <w:qFormat/>
    <w:rPr>
      <w:rFonts w:ascii="宋体" w:hAnsi="Courier New" w:cs="Courier New"/>
    </w:rPr>
  </w:style>
  <w:style w:type="paragraph" w:styleId="TOC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a8">
    <w:name w:val="Balloon Text"/>
    <w:basedOn w:val="a"/>
    <w:link w:val="a9"/>
    <w:uiPriority w:val="99"/>
    <w:semiHidden/>
    <w:unhideWhenUsed/>
    <w:qFormat/>
    <w:rPr>
      <w:sz w:val="18"/>
      <w:szCs w:val="18"/>
    </w:rPr>
  </w:style>
  <w:style w:type="paragraph" w:styleId="aa">
    <w:name w:val="footer"/>
    <w:basedOn w:val="a"/>
    <w:link w:val="11"/>
    <w:qFormat/>
    <w:pPr>
      <w:tabs>
        <w:tab w:val="center" w:pos="4153"/>
        <w:tab w:val="right" w:pos="8306"/>
      </w:tabs>
      <w:snapToGrid w:val="0"/>
      <w:jc w:val="left"/>
    </w:pPr>
    <w:rPr>
      <w:rFonts w:asciiTheme="minorHAnsi" w:hAnsiTheme="minorHAnsi" w:cstheme="minorBidi"/>
      <w:sz w:val="18"/>
      <w:szCs w:val="18"/>
    </w:rPr>
  </w:style>
  <w:style w:type="paragraph" w:styleId="ab">
    <w:name w:val="header"/>
    <w:basedOn w:val="a"/>
    <w:link w:val="ac"/>
    <w:qFormat/>
    <w:pPr>
      <w:pBdr>
        <w:bottom w:val="single" w:sz="6" w:space="1" w:color="auto"/>
      </w:pBdr>
      <w:tabs>
        <w:tab w:val="center" w:pos="4153"/>
        <w:tab w:val="right" w:pos="8306"/>
      </w:tabs>
      <w:snapToGrid w:val="0"/>
      <w:jc w:val="center"/>
    </w:pPr>
    <w:rPr>
      <w:rFonts w:asciiTheme="minorHAnsi" w:hAnsiTheme="minorHAnsi" w:cstheme="minorBidi"/>
      <w:sz w:val="18"/>
      <w:szCs w:val="18"/>
    </w:rPr>
  </w:style>
  <w:style w:type="paragraph" w:styleId="TOC1">
    <w:name w:val="toc 1"/>
    <w:basedOn w:val="a"/>
    <w:next w:val="a"/>
    <w:uiPriority w:val="39"/>
    <w:unhideWhenUsed/>
    <w:qFormat/>
  </w:style>
  <w:style w:type="paragraph" w:styleId="TOC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TOC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TOC2">
    <w:name w:val="toc 2"/>
    <w:basedOn w:val="a"/>
    <w:next w:val="a"/>
    <w:uiPriority w:val="39"/>
    <w:unhideWhenUsed/>
    <w:qFormat/>
    <w:pPr>
      <w:ind w:leftChars="200" w:left="420"/>
    </w:pPr>
  </w:style>
  <w:style w:type="paragraph" w:styleId="TOC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21">
    <w:name w:val="Body Text 2"/>
    <w:basedOn w:val="a"/>
    <w:link w:val="22"/>
    <w:qFormat/>
    <w:pPr>
      <w:spacing w:after="120" w:line="480" w:lineRule="auto"/>
    </w:pPr>
    <w:rPr>
      <w:rFonts w:ascii="Times New Roman" w:hAnsi="Times New Roman"/>
      <w:szCs w:val="24"/>
    </w:rPr>
  </w:style>
  <w:style w:type="paragraph" w:styleId="ad">
    <w:name w:val="Normal (Web)"/>
    <w:basedOn w:val="a"/>
    <w:unhideWhenUsed/>
    <w:qFormat/>
    <w:pPr>
      <w:widowControl/>
      <w:spacing w:before="100" w:beforeAutospacing="1" w:after="100" w:afterAutospacing="1"/>
      <w:jc w:val="left"/>
    </w:pPr>
    <w:rPr>
      <w:rFonts w:ascii="宋体" w:hAnsi="宋体" w:cs="宋体"/>
      <w:kern w:val="0"/>
      <w:sz w:val="24"/>
      <w:szCs w:val="24"/>
    </w:rPr>
  </w:style>
  <w:style w:type="paragraph" w:styleId="ae">
    <w:name w:val="annotation subject"/>
    <w:basedOn w:val="a4"/>
    <w:next w:val="a4"/>
    <w:link w:val="af"/>
    <w:uiPriority w:val="99"/>
    <w:semiHidden/>
    <w:unhideWhenUsed/>
    <w:qFormat/>
    <w:rPr>
      <w:b/>
      <w:bCs/>
    </w:rPr>
  </w:style>
  <w:style w:type="table" w:styleId="af0">
    <w:name w:val="Table Grid"/>
    <w:basedOn w:val="a1"/>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uiPriority w:val="99"/>
    <w:qFormat/>
  </w:style>
  <w:style w:type="character" w:styleId="af2">
    <w:name w:val="Hyperlink"/>
    <w:basedOn w:val="a0"/>
    <w:uiPriority w:val="99"/>
    <w:unhideWhenUsed/>
    <w:qFormat/>
    <w:rPr>
      <w:color w:val="0000FF"/>
      <w:u w:val="single"/>
    </w:rPr>
  </w:style>
  <w:style w:type="character" w:styleId="af3">
    <w:name w:val="annotation reference"/>
    <w:basedOn w:val="a0"/>
    <w:uiPriority w:val="99"/>
    <w:semiHidden/>
    <w:unhideWhenUsed/>
    <w:qFormat/>
    <w:rPr>
      <w:sz w:val="21"/>
      <w:szCs w:val="21"/>
    </w:rPr>
  </w:style>
  <w:style w:type="paragraph" w:styleId="af4">
    <w:name w:val="List Paragraph"/>
    <w:basedOn w:val="a"/>
    <w:uiPriority w:val="99"/>
    <w:qFormat/>
    <w:pPr>
      <w:ind w:firstLineChars="200" w:firstLine="420"/>
    </w:pPr>
  </w:style>
  <w:style w:type="character" w:customStyle="1" w:styleId="ac">
    <w:name w:val="页眉 字符"/>
    <w:basedOn w:val="a0"/>
    <w:link w:val="ab"/>
    <w:qFormat/>
    <w:rPr>
      <w:rFonts w:eastAsia="宋体"/>
      <w:sz w:val="18"/>
      <w:szCs w:val="18"/>
    </w:rPr>
  </w:style>
  <w:style w:type="character" w:customStyle="1" w:styleId="11">
    <w:name w:val="页脚 字符1"/>
    <w:basedOn w:val="a0"/>
    <w:link w:val="aa"/>
    <w:uiPriority w:val="99"/>
    <w:qFormat/>
    <w:rPr>
      <w:rFonts w:eastAsia="宋体"/>
      <w:sz w:val="18"/>
      <w:szCs w:val="18"/>
    </w:rPr>
  </w:style>
  <w:style w:type="character" w:customStyle="1" w:styleId="af5">
    <w:name w:val="页脚 字符"/>
    <w:basedOn w:val="a0"/>
    <w:uiPriority w:val="99"/>
    <w:semiHidden/>
    <w:qFormat/>
    <w:rPr>
      <w:rFonts w:ascii="Calibri" w:eastAsia="宋体" w:hAnsi="Calibri" w:cs="Times New Roman"/>
      <w:sz w:val="18"/>
      <w:szCs w:val="18"/>
    </w:rPr>
  </w:style>
  <w:style w:type="character" w:customStyle="1" w:styleId="12">
    <w:name w:val="页眉 字符1"/>
    <w:basedOn w:val="a0"/>
    <w:uiPriority w:val="99"/>
    <w:semiHidden/>
    <w:qFormat/>
    <w:rPr>
      <w:rFonts w:ascii="Calibri" w:eastAsia="宋体" w:hAnsi="Calibri" w:cs="Times New Roman"/>
      <w:sz w:val="18"/>
      <w:szCs w:val="18"/>
    </w:rPr>
  </w:style>
  <w:style w:type="paragraph" w:customStyle="1" w:styleId="Default">
    <w:name w:val="Default"/>
    <w:qFormat/>
    <w:pPr>
      <w:autoSpaceDE w:val="0"/>
      <w:autoSpaceDN w:val="0"/>
      <w:adjustRightInd w:val="0"/>
    </w:pPr>
    <w:rPr>
      <w:rFonts w:ascii="Times New Roman" w:eastAsia="宋体" w:hAnsi="Times New Roman" w:cs="Times New Roman"/>
      <w:color w:val="000000"/>
      <w:sz w:val="24"/>
      <w:szCs w:val="24"/>
      <w:lang w:eastAsia="en-US"/>
    </w:rPr>
  </w:style>
  <w:style w:type="character" w:customStyle="1" w:styleId="20">
    <w:name w:val="标题 2 字符"/>
    <w:basedOn w:val="a0"/>
    <w:link w:val="2"/>
    <w:uiPriority w:val="99"/>
    <w:qFormat/>
    <w:rPr>
      <w:rFonts w:ascii="Cambria" w:eastAsia="宋体" w:hAnsi="Cambria" w:cs="Times New Roman"/>
      <w:b/>
      <w:bCs/>
      <w:sz w:val="32"/>
      <w:szCs w:val="32"/>
    </w:rPr>
  </w:style>
  <w:style w:type="paragraph" w:customStyle="1" w:styleId="ListParagraph1">
    <w:name w:val="List Paragraph1"/>
    <w:basedOn w:val="a"/>
    <w:qFormat/>
    <w:pPr>
      <w:ind w:firstLineChars="200" w:firstLine="420"/>
    </w:pPr>
    <w:rPr>
      <w:sz w:val="24"/>
      <w:szCs w:val="24"/>
    </w:rPr>
  </w:style>
  <w:style w:type="character" w:customStyle="1" w:styleId="15">
    <w:name w:val="15"/>
    <w:basedOn w:val="a0"/>
    <w:qFormat/>
    <w:rPr>
      <w:rFonts w:ascii="Calibri" w:hAnsi="Calibri" w:cs="Calibri" w:hint="default"/>
      <w:color w:val="0000FF"/>
      <w:u w:val="single"/>
    </w:rPr>
  </w:style>
  <w:style w:type="character" w:customStyle="1" w:styleId="31">
    <w:name w:val="正文文本 3 字符"/>
    <w:basedOn w:val="a0"/>
    <w:link w:val="30"/>
    <w:qFormat/>
    <w:rPr>
      <w:rFonts w:ascii="Times New Roman" w:eastAsia="宋体" w:hAnsi="Times New Roman" w:cs="Times New Roman"/>
      <w:sz w:val="16"/>
      <w:szCs w:val="16"/>
    </w:rPr>
  </w:style>
  <w:style w:type="character" w:customStyle="1" w:styleId="22">
    <w:name w:val="正文文本 2 字符"/>
    <w:basedOn w:val="a0"/>
    <w:link w:val="21"/>
    <w:qFormat/>
    <w:rPr>
      <w:rFonts w:ascii="Times New Roman" w:eastAsia="宋体" w:hAnsi="Times New Roman" w:cs="Times New Roman"/>
      <w:szCs w:val="24"/>
    </w:rPr>
  </w:style>
  <w:style w:type="character" w:customStyle="1" w:styleId="10">
    <w:name w:val="标题 1 字符"/>
    <w:basedOn w:val="a0"/>
    <w:link w:val="1"/>
    <w:uiPriority w:val="9"/>
    <w:qFormat/>
    <w:rPr>
      <w:rFonts w:ascii="Calibri" w:eastAsia="黑体" w:hAnsi="Calibri" w:cs="Times New Roman"/>
      <w:b/>
      <w:bCs/>
      <w:kern w:val="44"/>
      <w:sz w:val="32"/>
      <w:szCs w:val="44"/>
    </w:rPr>
  </w:style>
  <w:style w:type="paragraph" w:customStyle="1" w:styleId="Style1">
    <w:name w:val="_Style 1"/>
    <w:basedOn w:val="a"/>
    <w:qFormat/>
    <w:pPr>
      <w:ind w:firstLineChars="200" w:firstLine="420"/>
    </w:pPr>
  </w:style>
  <w:style w:type="paragraph" w:customStyle="1" w:styleId="13">
    <w:name w:val="列出段落1"/>
    <w:basedOn w:val="a"/>
    <w:qFormat/>
    <w:pPr>
      <w:spacing w:beforeLines="100" w:afterLines="100"/>
      <w:ind w:firstLineChars="200" w:firstLine="420"/>
    </w:pPr>
  </w:style>
  <w:style w:type="character" w:customStyle="1" w:styleId="font111">
    <w:name w:val="font111"/>
    <w:basedOn w:val="a0"/>
    <w:qFormat/>
    <w:rPr>
      <w:rFonts w:ascii="宋体" w:eastAsia="宋体" w:hAnsi="宋体" w:cs="宋体" w:hint="eastAsia"/>
      <w:color w:val="000000"/>
      <w:sz w:val="24"/>
      <w:szCs w:val="24"/>
      <w:u w:val="none"/>
    </w:rPr>
  </w:style>
  <w:style w:type="character" w:customStyle="1" w:styleId="font121">
    <w:name w:val="font121"/>
    <w:basedOn w:val="a0"/>
    <w:qFormat/>
    <w:rPr>
      <w:rFonts w:ascii="Times New Roman" w:hAnsi="Times New Roman" w:cs="Times New Roman" w:hint="default"/>
      <w:color w:val="000000"/>
      <w:sz w:val="18"/>
      <w:szCs w:val="18"/>
      <w:u w:val="none"/>
    </w:rPr>
  </w:style>
  <w:style w:type="character" w:customStyle="1" w:styleId="a9">
    <w:name w:val="批注框文本 字符"/>
    <w:basedOn w:val="a0"/>
    <w:link w:val="a8"/>
    <w:uiPriority w:val="99"/>
    <w:semiHidden/>
    <w:qFormat/>
    <w:rPr>
      <w:rFonts w:ascii="Calibri" w:eastAsia="宋体" w:hAnsi="Calibri" w:cs="Times New Roman"/>
      <w:kern w:val="2"/>
      <w:sz w:val="18"/>
      <w:szCs w:val="18"/>
    </w:rPr>
  </w:style>
  <w:style w:type="character" w:customStyle="1" w:styleId="a5">
    <w:name w:val="批注文字 字符"/>
    <w:basedOn w:val="a0"/>
    <w:link w:val="a4"/>
    <w:uiPriority w:val="99"/>
    <w:semiHidden/>
    <w:qFormat/>
    <w:rPr>
      <w:rFonts w:ascii="Calibri" w:eastAsia="宋体" w:hAnsi="Calibri" w:cs="Times New Roman"/>
      <w:kern w:val="2"/>
      <w:sz w:val="21"/>
      <w:szCs w:val="21"/>
    </w:rPr>
  </w:style>
  <w:style w:type="character" w:customStyle="1" w:styleId="af">
    <w:name w:val="批注主题 字符"/>
    <w:basedOn w:val="a5"/>
    <w:link w:val="ae"/>
    <w:uiPriority w:val="99"/>
    <w:semiHidden/>
    <w:qFormat/>
    <w:rPr>
      <w:rFonts w:ascii="Calibri" w:eastAsia="宋体" w:hAnsi="Calibri" w:cs="Times New Roman"/>
      <w:b/>
      <w:bCs/>
      <w:kern w:val="2"/>
      <w:sz w:val="21"/>
      <w:szCs w:val="21"/>
    </w:rPr>
  </w:style>
  <w:style w:type="paragraph" w:customStyle="1" w:styleId="ptextindent21">
    <w:name w:val="p_text_indent_21"/>
    <w:basedOn w:val="a"/>
    <w:qFormat/>
    <w:pPr>
      <w:widowControl/>
      <w:spacing w:before="100" w:beforeAutospacing="1" w:after="100" w:afterAutospacing="1"/>
      <w:ind w:firstLine="480"/>
      <w:jc w:val="left"/>
    </w:pPr>
    <w:rPr>
      <w:rFonts w:ascii="宋体" w:hAnsi="宋体" w:cs="宋体"/>
      <w:kern w:val="0"/>
      <w:sz w:val="24"/>
      <w:szCs w:val="24"/>
    </w:rPr>
  </w:style>
  <w:style w:type="paragraph" w:customStyle="1" w:styleId="Normal0">
    <w:name w:val="Normal_0"/>
    <w:qFormat/>
    <w:pPr>
      <w:spacing w:before="120" w:after="240"/>
      <w:jc w:val="both"/>
    </w:pPr>
    <w:rPr>
      <w:rFonts w:ascii="Calibri" w:eastAsia="Calibri" w:hAnsi="Calibri" w:cs="Times New Roman"/>
      <w:sz w:val="22"/>
      <w:szCs w:val="22"/>
      <w:lang w:val="ru-RU" w:eastAsia="en-US"/>
    </w:rPr>
  </w:style>
  <w:style w:type="paragraph" w:customStyle="1" w:styleId="Normal1">
    <w:name w:val="Normal_1"/>
    <w:qFormat/>
    <w:pPr>
      <w:spacing w:before="120" w:after="240"/>
      <w:jc w:val="both"/>
    </w:pPr>
    <w:rPr>
      <w:rFonts w:ascii="Calibri" w:eastAsia="Calibri" w:hAnsi="Calibri" w:cs="Times New Roman"/>
      <w:sz w:val="22"/>
      <w:szCs w:val="22"/>
      <w:lang w:val="ru-RU" w:eastAsia="en-US"/>
    </w:rPr>
  </w:style>
  <w:style w:type="paragraph" w:customStyle="1" w:styleId="Normal2">
    <w:name w:val="Normal_2"/>
    <w:qFormat/>
    <w:pPr>
      <w:spacing w:before="120" w:after="240"/>
      <w:jc w:val="both"/>
    </w:pPr>
    <w:rPr>
      <w:rFonts w:ascii="Calibri" w:eastAsia="Calibri" w:hAnsi="Calibri" w:cs="Times New Roman"/>
      <w:sz w:val="22"/>
      <w:szCs w:val="22"/>
      <w:lang w:val="ru-RU" w:eastAsia="en-US"/>
    </w:rPr>
  </w:style>
  <w:style w:type="character" w:customStyle="1" w:styleId="a7">
    <w:name w:val="纯文本 字符"/>
    <w:basedOn w:val="a0"/>
    <w:link w:val="a6"/>
    <w:uiPriority w:val="99"/>
    <w:qFormat/>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202.192.18.154:7071/hrm/" TargetMode="External"/><Relationship Id="rId18" Type="http://schemas.openxmlformats.org/officeDocument/2006/relationships/hyperlink" Target="http://www.icbc.com.cn/" TargetMode="External"/><Relationship Id="rId26" Type="http://schemas.openxmlformats.org/officeDocument/2006/relationships/hyperlink" Target="http://www.gzhu.edu.cn/fujian/wlkj_intro.pdf" TargetMode="External"/><Relationship Id="rId39" Type="http://schemas.openxmlformats.org/officeDocument/2006/relationships/hyperlink" Target="http://lib.gzhu.edu.cn/" TargetMode="External"/><Relationship Id="rId21" Type="http://schemas.openxmlformats.org/officeDocument/2006/relationships/image" Target="media/image7.jpeg"/><Relationship Id="rId34" Type="http://schemas.openxmlformats.org/officeDocument/2006/relationships/hyperlink" Target="http://www.gzhu.edu.cn/lnwhysyjy.pdf" TargetMode="External"/><Relationship Id="rId42" Type="http://schemas.openxmlformats.org/officeDocument/2006/relationships/hyperlink" Target="http://lib.gzhu.edu.cn/&#65289;" TargetMode="External"/><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aiesim.gzhu.edu.cn/" TargetMode="External"/><Relationship Id="rId33" Type="http://schemas.openxmlformats.org/officeDocument/2006/relationships/hyperlink" Target="http://humanrights.gzhu.edu.cn/" TargetMode="External"/><Relationship Id="rId38" Type="http://schemas.openxmlformats.org/officeDocument/2006/relationships/hyperlink" Target="http://lib.gzhu.edu.cn/" TargetMode="External"/><Relationship Id="rId46"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http://my.gzhu.edu.cn" TargetMode="External"/><Relationship Id="rId20" Type="http://schemas.openxmlformats.org/officeDocument/2006/relationships/image" Target="media/image6.jpeg"/><Relationship Id="rId29" Type="http://schemas.openxmlformats.org/officeDocument/2006/relationships/hyperlink" Target="http://www.gzhu.edu.cn/yysxyjzx.pdf" TargetMode="External"/><Relationship Id="rId41" Type="http://schemas.openxmlformats.org/officeDocument/2006/relationships/hyperlink" Target="http://thesis.sysu.edu.cn/SysuIll/"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kyc.gzhu.edu.cn/" TargetMode="External"/><Relationship Id="rId32" Type="http://schemas.openxmlformats.org/officeDocument/2006/relationships/hyperlink" Target="http://www.gzhu.edu.cn/tyyjy.pdf" TargetMode="External"/><Relationship Id="rId37" Type="http://schemas.openxmlformats.org/officeDocument/2006/relationships/hyperlink" Target="http://lib.gzhu.edu.cn/" TargetMode="External"/><Relationship Id="rId40" Type="http://schemas.openxmlformats.org/officeDocument/2006/relationships/hyperlink" Target="http://lib.gzhu.edu.cn/" TargetMode="External"/><Relationship Id="rId45" Type="http://schemas.openxmlformats.org/officeDocument/2006/relationships/image" Target="media/image11.jpe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202.192.18.154:7071/hrm/" TargetMode="External"/><Relationship Id="rId23" Type="http://schemas.openxmlformats.org/officeDocument/2006/relationships/hyperlink" Target="http://kyc.gzhu.edu.cn/" TargetMode="External"/><Relationship Id="rId28" Type="http://schemas.openxmlformats.org/officeDocument/2006/relationships/hyperlink" Target="http://prd.gzhu.edu.cn/" TargetMode="External"/><Relationship Id="rId36" Type="http://schemas.openxmlformats.org/officeDocument/2006/relationships/image" Target="media/image9.jpeg"/><Relationship Id="rId49" Type="http://schemas.openxmlformats.org/officeDocument/2006/relationships/image" Target="media/image15.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hyperlink" Target="http://afr.gzhu.edu.cn/" TargetMode="External"/><Relationship Id="rId44" Type="http://schemas.openxmlformats.org/officeDocument/2006/relationships/image" Target="media/image10.jpeg"/><Relationship Id="rId52"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my.gzhu.edu.cn" TargetMode="External"/><Relationship Id="rId22" Type="http://schemas.openxmlformats.org/officeDocument/2006/relationships/hyperlink" Target="http://www.chinapostdoctor.org.cn/" TargetMode="External"/><Relationship Id="rId27" Type="http://schemas.openxmlformats.org/officeDocument/2006/relationships/hyperlink" Target="http://www.gzhu.edu.cn/dwq_intro.pdf" TargetMode="External"/><Relationship Id="rId30" Type="http://schemas.openxmlformats.org/officeDocument/2006/relationships/hyperlink" Target="http://gda.gzhu.edu.cn/" TargetMode="External"/><Relationship Id="rId35" Type="http://schemas.openxmlformats.org/officeDocument/2006/relationships/image" Target="media/image8.png"/><Relationship Id="rId43" Type="http://schemas.openxmlformats.org/officeDocument/2006/relationships/hyperlink" Target="http://lib.gzhu.edu.cn/&#65289;" TargetMode="External"/><Relationship Id="rId48" Type="http://schemas.openxmlformats.org/officeDocument/2006/relationships/image" Target="media/image14.jpe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17.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4" textRotate="1"/>
    <customShpInfo spid="_x0000_s2055" textRotate="1"/>
    <customShpInfo spid="_x0000_s2049"/>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216"/>
    <customShpInfo spid="_x0000_s1212"/>
    <customShpInfo spid="_x0000_s1213"/>
    <customShpInfo spid="_x0000_s1214"/>
    <customShpInfo spid="_x0000_s1215"/>
    <customShpInfo spid="_x0000_s1218"/>
    <customShpInfo spid="_x0000_s1101"/>
    <customShpInfo spid="_x0000_s1102"/>
    <customShpInfo spid="_x0000_s1103"/>
    <customShpInfo spid="_x0000_s1104"/>
    <customShpInfo spid="_x0000_s1105"/>
    <customShpInfo spid="_x0000_s1106"/>
    <customShpInfo spid="_x0000_s1107"/>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08"/>
    <customShpInfo spid="_x0000_s1127"/>
    <customShpInfo spid="_x0000_s1100"/>
    <customShpInfo spid="_x0000_s1099"/>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09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17F05B-6E0E-4C33-93D2-8BD66492B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14543</Words>
  <Characters>82901</Characters>
  <Application>Microsoft Office Word</Application>
  <DocSecurity>0</DocSecurity>
  <Lines>690</Lines>
  <Paragraphs>194</Paragraphs>
  <ScaleCrop>false</ScaleCrop>
  <Company>微软中国</Company>
  <LinksUpToDate>false</LinksUpToDate>
  <CharactersWithSpaces>97250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李洪坛</cp:lastModifiedBy>
  <cp:revision>156</cp:revision>
  <cp:lastPrinted>2018-11-08T02:30:00Z</cp:lastPrinted>
  <dcterms:created xsi:type="dcterms:W3CDTF">2018-07-11T06:34:00Z</dcterms:created>
  <dcterms:modified xsi:type="dcterms:W3CDTF">2019-03-22T01:59:00Z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