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优秀城乡社区党组织书记量化考核赋分表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镇（街道）党委（工委）盖章：</w:t>
      </w:r>
    </w:p>
    <w:tbl>
      <w:tblPr>
        <w:tblStyle w:val="4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955"/>
        <w:gridCol w:w="915"/>
        <w:gridCol w:w="280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指标及权重</w:t>
            </w: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赋分标准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具体分值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备</w:t>
            </w:r>
            <w:r>
              <w:rPr>
                <w:rStyle w:val="8"/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vertAlign w:val="baseline"/>
                <w:lang w:val="en-US" w:eastAsia="zh-CN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起点分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任正职时间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任职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年及以上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连续任正职满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年得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分，每超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年加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分，最高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学历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在职大专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学历按本人获得的最高学历计分，多个学历不累计加分。</w:t>
            </w:r>
          </w:p>
        </w:tc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全日制大专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在职大学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全日制大学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工作业绩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40</w:t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近五年，即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年以来镇街对村社目标管理考核位列前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1/3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次数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次按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分计，最高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40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个人荣誉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任村社正职以来获得县（市）区级综合先进、市级兴村（治社）名师、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金雁奖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”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8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荣誉指担任村社正职后获得的个人荣誉。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2.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综合先进是指由县（市）区级及以上党委政府表彰或授予的劳动模范、优秀共产党员等综合性荣誉称号，以及根据文件规定可以享受劳动模范待遇的部门先进。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3.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荣誉情况不累计计分，按最高级别计分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次。</w:t>
            </w:r>
          </w:p>
        </w:tc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任村社正职以来获得地市级综合先进、宁波市级兴村（治社）名师、优秀党务工作者、十大强基先锋、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担当作为好支书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”“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金雁奖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”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80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任村社正职以来获得省部级综合先进、省级兴村（治社）名师、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“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担当作为好支书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”“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千名好支书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”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 w:bidi="ar"/>
              </w:rPr>
              <w:t>、优秀城乡社区工作者、社区领军人才、最美社工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80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廉洁自律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default" w:ascii="Times New Roman" w:hAnsi="Times New Roman" w:eastAsia="方正楷体简体" w:cs="Times New Roman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任村社正职以来受党纪政纪处分或组织处理情况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任村社正职以来未受党纪政纪处分或监督执纪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第一种形态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处理的，得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除符合容错免责情形外，个人任村社正职以来曾受党纪政纪处分的，该项不得分；受到诫勉、通报处理的，每处理1次扣6分，受到批评教育、警示谈话处理的，每处理1次扣4分，受到提醒谈话处理的，每处理1次扣2分，扣完为止。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简体" w:cs="Times New Roman"/>
                <w:lang w:val="en-US" w:eastAsia="zh-CN" w:bidi="ar"/>
              </w:rPr>
              <w:t>合计得分</w:t>
            </w: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  <w:t>备注：岗位1人员量化考核赋分不足80分、岗位2人员量化考核赋分不足60分的，予以淘汰。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E092"/>
    <w:rsid w:val="5FDF3B08"/>
    <w:rsid w:val="7FEDE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  <w:style w:type="character" w:customStyle="1" w:styleId="7">
    <w:name w:val="font01"/>
    <w:basedOn w:val="5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2023-03-10T11:11:00Z</dcterms:created>
  <dc:creator>thtf</dc:creator>
  <cp:lastModifiedBy>thtf</cp:lastModifiedBy>
  <dcterms:modified xsi:type="dcterms:W3CDTF">2023-03-10T11:14:09Z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