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49" w:rsidRDefault="00463F49" w:rsidP="00463F49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</w:t>
      </w:r>
      <w:r w:rsidR="0056322C"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</w:p>
    <w:p w:rsidR="00463F49" w:rsidRDefault="00463F49" w:rsidP="00463F49">
      <w:pPr>
        <w:widowControl/>
        <w:spacing w:line="375" w:lineRule="atLeast"/>
        <w:rPr>
          <w:rFonts w:ascii="黑体" w:eastAsia="黑体" w:hAnsi="宋体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一、侧方停车位考核方法和标准：</w:t>
      </w:r>
    </w:p>
    <w:p w:rsidR="00463F49" w:rsidRDefault="00463F49" w:rsidP="00463F49">
      <w:pPr>
        <w:widowControl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目的：让机动车驾驶人掌握将整车正确停于路右车位（库）中的技能，以适应日常驾驶生活中临时停车的需要。</w:t>
      </w:r>
    </w:p>
    <w:p w:rsidR="00463F49" w:rsidRDefault="00463F49" w:rsidP="00463F49">
      <w:pPr>
        <w:widowControl/>
        <w:ind w:firstLineChars="150" w:firstLine="4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（一）图形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设计：</w:t>
      </w:r>
    </w:p>
    <w:p w:rsidR="00463F49" w:rsidRDefault="00463F49" w:rsidP="00463F49">
      <w:pPr>
        <w:widowControl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instrText xml:space="preserve"> INCLUDEPICTURE "http://news.jxedt.com/UserFiles/2006-2/7/200627163119646.jpg" \* MERGEFORMATINET </w:instrTex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color w:val="000000"/>
          <w:kern w:val="0"/>
          <w:sz w:val="32"/>
          <w:szCs w:val="32"/>
        </w:rPr>
        <w:drawing>
          <wp:inline distT="0" distB="0" distL="114300" distR="114300" wp14:anchorId="68C06FB4" wp14:editId="398A3C09">
            <wp:extent cx="5596255" cy="2522855"/>
            <wp:effectExtent l="0" t="0" r="444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fldChar w:fldCharType="end"/>
      </w:r>
    </w:p>
    <w:p w:rsidR="00463F49" w:rsidRDefault="00463F49" w:rsidP="00463F49">
      <w:pPr>
        <w:widowControl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车位（库）长：大型客车为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倍车长减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1m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，小型车辆为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倍车长加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1m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，其他车辆为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倍车长；</w:t>
      </w:r>
    </w:p>
    <w:p w:rsidR="00463F49" w:rsidRDefault="00463F49" w:rsidP="00463F49">
      <w:pPr>
        <w:widowControl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宋体" w:eastAsia="仿宋_GB2312" w:hAnsi="宋体"/>
          <w:color w:val="000000"/>
          <w:kern w:val="0"/>
          <w:sz w:val="32"/>
          <w:szCs w:val="32"/>
        </w:rPr>
        <w:t>   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车位（库）宽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=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车宽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+80cm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；车道宽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=1.5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倍车宽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+80cm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463F49" w:rsidRDefault="00463F49" w:rsidP="00463F49">
      <w:pPr>
        <w:widowControl/>
        <w:ind w:firstLineChars="150" w:firstLine="4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（二）通过要求：</w:t>
      </w:r>
    </w:p>
    <w:p w:rsidR="00463F49" w:rsidRDefault="00463F49" w:rsidP="00463F49">
      <w:pPr>
        <w:widowControl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机动车驾驶人驾驶车辆在不碰、擦库位桩杆，车轮不轧碰车道边线、库位边线的情况下，通过一进一退的方式，将整车移入右侧库位中。</w:t>
      </w:r>
    </w:p>
    <w:p w:rsidR="00463F49" w:rsidRDefault="00463F49" w:rsidP="00463F49">
      <w:pPr>
        <w:widowControl/>
        <w:ind w:leftChars="150" w:left="475" w:hangingChars="50" w:hanging="16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（三）评判标准：</w:t>
      </w:r>
    </w:p>
    <w:p w:rsidR="00463F49" w:rsidRDefault="00463F49" w:rsidP="00463F49">
      <w:pPr>
        <w:widowControl/>
        <w:ind w:leftChars="193" w:left="405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、行驶中轮胎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压库位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和车道边线的，不合格；</w:t>
      </w:r>
    </w:p>
    <w:p w:rsidR="00463F49" w:rsidRDefault="00463F49" w:rsidP="00463F49">
      <w:pPr>
        <w:widowControl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、车辆在入库停止后，车厢出库位线的，不合格；</w:t>
      </w:r>
    </w:p>
    <w:p w:rsidR="00463F49" w:rsidRDefault="00463F49" w:rsidP="00463F49">
      <w:pPr>
        <w:widowControl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、入库后未摆正车身位置的，不合格；</w:t>
      </w:r>
    </w:p>
    <w:p w:rsidR="00463F49" w:rsidRDefault="00463F49" w:rsidP="00463F49">
      <w:pPr>
        <w:widowControl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、车辆在入库停止后，方向未回直的，不合格。</w:t>
      </w:r>
    </w:p>
    <w:p w:rsidR="00463F49" w:rsidRDefault="00463F49" w:rsidP="00463F49">
      <w:pPr>
        <w:widowControl/>
        <w:ind w:firstLineChars="150" w:firstLine="4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（四）操作方法：</w:t>
      </w:r>
    </w:p>
    <w:p w:rsidR="00463F49" w:rsidRDefault="00463F49" w:rsidP="00463F49">
      <w:pPr>
        <w:widowControl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、车辆沿车道右侧（保持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厘米横距）前进过车库停车，倒车观察车厢右栏后五分之二处与前左杆对齐时向右转足方向。</w:t>
      </w:r>
    </w:p>
    <w:p w:rsidR="00463F49" w:rsidRDefault="00463F49" w:rsidP="00463F49">
      <w:pPr>
        <w:widowControl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、然后观察车厢左栏板的后五分之二处与库位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后左杆对齐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时向左转足方向，待车头摆向库前中间时，回正方向停车。</w:t>
      </w:r>
    </w:p>
    <w:p w:rsidR="00463F49" w:rsidRDefault="00463F49" w:rsidP="00463F49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二、公路调头考核方法和标准：</w:t>
      </w:r>
    </w:p>
    <w:p w:rsidR="00463F49" w:rsidRDefault="00463F49" w:rsidP="00463F49">
      <w:pPr>
        <w:pStyle w:val="a5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汽车行驶中进行</w:t>
      </w:r>
      <w:r>
        <w:rPr>
          <w:rFonts w:ascii="仿宋_GB2312" w:eastAsia="仿宋_GB2312" w:cs="仿宋_GB2312"/>
          <w:sz w:val="32"/>
          <w:szCs w:val="32"/>
        </w:rPr>
        <w:t>180</w:t>
      </w:r>
      <w:r>
        <w:rPr>
          <w:rFonts w:ascii="仿宋_GB2312" w:eastAsia="仿宋_GB2312" w:cs="仿宋_GB2312"/>
          <w:sz w:val="32"/>
          <w:szCs w:val="32"/>
          <w:vertAlign w:val="superscript"/>
        </w:rPr>
        <w:t>o</w:t>
      </w:r>
      <w:r>
        <w:rPr>
          <w:rFonts w:ascii="仿宋_GB2312" w:eastAsia="仿宋_GB2312" w:cs="仿宋_GB2312" w:hint="eastAsia"/>
          <w:sz w:val="32"/>
          <w:szCs w:val="32"/>
        </w:rPr>
        <w:t>的转向亦称为调头。汽车调头方法正确，可以缩短调头时间，减少对其他行驶车辆的影响。它是汽车驾驶中常用的操作方法。</w:t>
      </w:r>
    </w:p>
    <w:p w:rsidR="00463F49" w:rsidRDefault="00463F49" w:rsidP="00463F49">
      <w:pPr>
        <w:pStyle w:val="a5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“划线”场地调头</w:t>
      </w:r>
    </w:p>
    <w:p w:rsidR="00463F49" w:rsidRDefault="00463F49" w:rsidP="00463F49">
      <w:pPr>
        <w:pStyle w:val="a5"/>
        <w:ind w:firstLineChars="200" w:firstLine="420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2DF17A" wp14:editId="08957E62">
            <wp:simplePos x="0" y="0"/>
            <wp:positionH relativeFrom="column">
              <wp:posOffset>2800350</wp:posOffset>
            </wp:positionH>
            <wp:positionV relativeFrom="paragraph">
              <wp:posOffset>396240</wp:posOffset>
            </wp:positionV>
            <wp:extent cx="32385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73" y="21505"/>
                <wp:lineTo x="21473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仿宋_GB2312" w:hint="eastAsia"/>
          <w:sz w:val="32"/>
          <w:szCs w:val="32"/>
        </w:rPr>
        <w:t>为使学员较快地掌握前进与倒车相结合的调头操作要领，可在场地设置模仿公路调头课目，进行调头操作练习。此项练习最好在道路驾驶之前进行。</w:t>
      </w:r>
    </w:p>
    <w:p w:rsidR="00463F49" w:rsidRDefault="00463F49" w:rsidP="00463F49">
      <w:pPr>
        <w:pStyle w:val="a5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(1)</w:t>
      </w:r>
      <w:r>
        <w:rPr>
          <w:rFonts w:ascii="仿宋_GB2312" w:eastAsia="仿宋_GB2312" w:hAnsi="宋体" w:cs="仿宋_GB2312" w:hint="eastAsia"/>
          <w:sz w:val="32"/>
          <w:szCs w:val="32"/>
        </w:rPr>
        <w:t>场地设置</w:t>
      </w: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463F49" w:rsidRDefault="00463F49" w:rsidP="00463F49">
      <w:pPr>
        <w:pStyle w:val="a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　　路宽为汽车轴距的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倍如图所示。</w:t>
      </w:r>
    </w:p>
    <w:p w:rsidR="00463F49" w:rsidRDefault="00463F49" w:rsidP="00463F49">
      <w:pPr>
        <w:pStyle w:val="a5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(2)</w:t>
      </w:r>
      <w:r>
        <w:rPr>
          <w:rFonts w:ascii="仿宋_GB2312" w:eastAsia="仿宋_GB2312" w:hAnsi="宋体" w:cs="仿宋_GB2312" w:hint="eastAsia"/>
          <w:sz w:val="32"/>
          <w:szCs w:val="32"/>
        </w:rPr>
        <w:t>操作要求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463F49" w:rsidRDefault="00463F49" w:rsidP="00463F49">
      <w:pPr>
        <w:pStyle w:val="a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 xml:space="preserve">　　①汽车三进、二倒，完成调头。</w:t>
      </w: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463F49" w:rsidRDefault="00463F49" w:rsidP="00463F49">
      <w:pPr>
        <w:pStyle w:val="a5"/>
        <w:ind w:firstLine="4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②操作中要求使用半联动，不能原地转动转向盘。</w:t>
      </w: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463F49" w:rsidRDefault="00463F49" w:rsidP="00463F49">
      <w:pPr>
        <w:pStyle w:val="a5"/>
        <w:ind w:firstLine="4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③中途不熄火，不得任意停车。</w:t>
      </w:r>
    </w:p>
    <w:p w:rsidR="00463F49" w:rsidRDefault="00463F49" w:rsidP="00463F49">
      <w:pPr>
        <w:pStyle w:val="a5"/>
        <w:ind w:firstLine="4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④前后轮轴心重点不得压线。</w:t>
      </w:r>
    </w:p>
    <w:p w:rsidR="00463F49" w:rsidRDefault="00463F49" w:rsidP="00463F49">
      <w:pPr>
        <w:pStyle w:val="a5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(3)</w:t>
      </w:r>
      <w:r>
        <w:rPr>
          <w:rFonts w:ascii="仿宋_GB2312" w:eastAsia="仿宋_GB2312" w:hAnsi="宋体" w:cs="仿宋_GB2312" w:hint="eastAsia"/>
          <w:sz w:val="32"/>
          <w:szCs w:val="32"/>
        </w:rPr>
        <w:t>操作要领</w:t>
      </w: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463F49" w:rsidRDefault="00463F49" w:rsidP="00463F49">
      <w:pPr>
        <w:pStyle w:val="a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　　①作业前汽车要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尽量靠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公路右侧边缘停放</w:t>
      </w:r>
    </w:p>
    <w:p w:rsidR="00463F49" w:rsidRDefault="00463F49" w:rsidP="00463F49">
      <w:pPr>
        <w:pStyle w:val="a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　　②汽车行进要慢而平稳</w:t>
      </w: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463F49" w:rsidRDefault="00463F49" w:rsidP="00463F49">
      <w:pPr>
        <w:pStyle w:val="a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　　③操纵转向盘要做到快打快回</w:t>
      </w: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463F49" w:rsidRDefault="00463F49" w:rsidP="00463F49">
      <w:pPr>
        <w:pStyle w:val="a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　　④调头中，由于各车轮与边线距离不相等，所以判断应以先接近边线的车轮为准。</w:t>
      </w:r>
      <w:r>
        <w:rPr>
          <w:rFonts w:ascii="仿宋_GB2312" w:eastAsia="仿宋_GB2312" w:hAnsi="仿宋_GB2312" w:cs="仿宋_GB2312" w:hint="eastAsia"/>
          <w:sz w:val="32"/>
          <w:szCs w:val="32"/>
        </w:rPr>
        <w:t></w:t>
      </w:r>
    </w:p>
    <w:p w:rsidR="00463F49" w:rsidRDefault="00463F49" w:rsidP="00463F4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⑤每次前进或后倒接近停车前回转转向盘时，应尽量多回，使得每次完成的转向角度更大些。</w:t>
      </w:r>
    </w:p>
    <w:p w:rsidR="00463F49" w:rsidRDefault="00463F49" w:rsidP="00463F4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、评判标准</w:t>
      </w:r>
    </w:p>
    <w:p w:rsidR="00463F49" w:rsidRDefault="00463F49" w:rsidP="00463F4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①中途熄火</w:t>
      </w:r>
      <w:r>
        <w:rPr>
          <w:rFonts w:ascii="仿宋_GB2312" w:eastAsia="仿宋_GB2312" w:hAnsi="宋体" w:cs="仿宋_GB2312" w:hint="eastAsia"/>
          <w:sz w:val="32"/>
          <w:szCs w:val="32"/>
        </w:rPr>
        <w:t>的，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不合格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463F49" w:rsidRDefault="00463F49" w:rsidP="00463F4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②车距右侧边缘超出</w:t>
      </w:r>
      <w:r>
        <w:rPr>
          <w:rFonts w:ascii="仿宋_GB2312" w:eastAsia="仿宋_GB2312" w:hAnsi="宋体" w:cs="仿宋_GB2312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sz w:val="32"/>
          <w:szCs w:val="32"/>
        </w:rPr>
        <w:t>公分小于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米的，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不合格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463F49" w:rsidRDefault="00463F49" w:rsidP="00463F49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③前后轮轴心重点出线一次，不合格。</w:t>
      </w:r>
    </w:p>
    <w:p w:rsidR="00463F49" w:rsidRDefault="00463F49" w:rsidP="00463F49">
      <w:pPr>
        <w:widowControl/>
        <w:spacing w:line="375" w:lineRule="atLeast"/>
        <w:ind w:firstLineChars="200" w:firstLine="643"/>
        <w:rPr>
          <w:rFonts w:ascii="黑体" w:eastAsia="黑体" w:hAnsi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</w:rPr>
        <w:t>三、倒进车库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、场地设置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库宽为车宽加</w:t>
      </w:r>
      <w:proofErr w:type="gramEnd"/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0.6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米，库长为车长加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0.6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米，路宽为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倍车长。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、操作要领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）汽车仅仅靠车库的一侧的路边线行进。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）待转向盘与库门右（左）桩杆平齐时，迅速向左（右）将方向盘打到极限位置。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）当汽车行到前轮距路边线约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米时，即迅速回转转向盘，并随即停车。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）看后视镜选好目标到车，向右（左）转动方向盘，使车身靠近内侧库门桩杆缓慢后倒。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）待车尾倒入车库（约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1/5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处）时，逐渐向左（右）回转转向盘，并前后兼顾；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）当驾驶门倒至车库门时，左右车厢与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左右库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边线距离基本相等，若发现偏斜要及时修正，使车身保持正直倒进库内，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即回正车轮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停车。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、操作要求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）利用汽车一进一退，倒入库内。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）汽车行进中不准用半联动，不得熄火。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）汽车进退过程中，不得任意停车。</w:t>
      </w:r>
    </w:p>
    <w:p w:rsidR="00463F49" w:rsidRDefault="00463F49" w:rsidP="00463F49">
      <w:pPr>
        <w:widowControl/>
        <w:spacing w:line="375" w:lineRule="atLeas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）操作中，不准原地转动转向盘。</w:t>
      </w:r>
    </w:p>
    <w:p w:rsidR="00463F49" w:rsidRDefault="00463F49" w:rsidP="00463F49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四</w:t>
      </w:r>
      <w:r>
        <w:rPr>
          <w:rFonts w:ascii="黑体" w:eastAsia="黑体" w:cs="黑体" w:hint="eastAsia"/>
        </w:rPr>
        <w:t>、</w:t>
      </w:r>
      <w:r>
        <w:rPr>
          <w:rFonts w:ascii="黑体" w:eastAsia="黑体" w:hAnsi="宋体" w:cs="黑体" w:hint="eastAsia"/>
          <w:sz w:val="32"/>
          <w:szCs w:val="32"/>
        </w:rPr>
        <w:t>直角转弯</w:t>
      </w:r>
    </w:p>
    <w:p w:rsidR="00463F49" w:rsidRDefault="00463F49" w:rsidP="00463F4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）场地设置</w:t>
      </w:r>
    </w:p>
    <w:p w:rsidR="00463F49" w:rsidRDefault="00463F49" w:rsidP="00463F4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路宽为汽车轴距加</w:t>
      </w:r>
      <w:r>
        <w:rPr>
          <w:rFonts w:ascii="仿宋_GB2312" w:eastAsia="仿宋_GB2312" w:cs="仿宋_GB2312"/>
          <w:sz w:val="32"/>
          <w:szCs w:val="32"/>
        </w:rPr>
        <w:t>0.5</w:t>
      </w:r>
      <w:r>
        <w:rPr>
          <w:rFonts w:ascii="仿宋_GB2312" w:eastAsia="仿宋_GB2312" w:cs="仿宋_GB2312" w:hint="eastAsia"/>
          <w:sz w:val="32"/>
          <w:szCs w:val="32"/>
        </w:rPr>
        <w:t>米，由外侧直角点起延长的夹角线不少于一车半长。</w:t>
      </w:r>
    </w:p>
    <w:p w:rsidR="00463F49" w:rsidRDefault="00463F49" w:rsidP="00463F4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）操作要求</w:t>
      </w:r>
    </w:p>
    <w:p w:rsidR="00463F49" w:rsidRDefault="00463F49" w:rsidP="00463F4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、汽车距直角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至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米处，减速并换低速档。</w:t>
      </w:r>
    </w:p>
    <w:p w:rsidR="00463F49" w:rsidRDefault="00463F49" w:rsidP="00463F4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、要尽量靠近外侧边线行使（外侧车轮与边线保持约</w:t>
      </w:r>
      <w:r>
        <w:rPr>
          <w:rFonts w:ascii="仿宋_GB2312" w:eastAsia="仿宋_GB2312" w:cs="仿宋_GB2312"/>
          <w:sz w:val="32"/>
          <w:szCs w:val="32"/>
        </w:rPr>
        <w:t>0.1</w:t>
      </w:r>
      <w:r>
        <w:rPr>
          <w:rFonts w:ascii="仿宋_GB2312" w:eastAsia="仿宋_GB2312" w:cs="仿宋_GB2312" w:hint="eastAsia"/>
          <w:sz w:val="32"/>
          <w:szCs w:val="32"/>
        </w:rPr>
        <w:t>米为宜）。</w:t>
      </w:r>
    </w:p>
    <w:p w:rsidR="00463F49" w:rsidRDefault="00463F49" w:rsidP="00463F4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、待前保险杠与突起点平齐，迅速向左（右）转动转向盘至极限位置，直到后轮将要越过突起点时，再回正转向盘。</w:t>
      </w:r>
    </w:p>
    <w:p w:rsidR="00463F49" w:rsidRDefault="00463F49" w:rsidP="00463F49"/>
    <w:p w:rsidR="00463F49" w:rsidRDefault="00463F49" w:rsidP="00463F49"/>
    <w:p w:rsidR="00463F49" w:rsidRDefault="00463F49" w:rsidP="00463F49"/>
    <w:p w:rsidR="00463F49" w:rsidRDefault="00463F49" w:rsidP="00463F49"/>
    <w:p w:rsidR="00463F49" w:rsidRDefault="00463F49" w:rsidP="00463F4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考核成绩评定标准</w:t>
      </w:r>
    </w:p>
    <w:p w:rsidR="00463F49" w:rsidRDefault="00463F49" w:rsidP="00463F49"/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8"/>
        <w:gridCol w:w="2748"/>
        <w:gridCol w:w="2746"/>
        <w:gridCol w:w="1375"/>
      </w:tblGrid>
      <w:tr w:rsidR="00463F49" w:rsidTr="007D61D5">
        <w:trPr>
          <w:trHeight w:val="714"/>
          <w:jc w:val="center"/>
        </w:trPr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术科成绩评定</w:t>
            </w:r>
          </w:p>
        </w:tc>
      </w:tr>
      <w:tr w:rsidR="00463F49" w:rsidTr="007D61D5">
        <w:trPr>
          <w:trHeight w:val="71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不合格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   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63F49" w:rsidTr="007D61D5">
        <w:trPr>
          <w:trHeight w:val="71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倒进车库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不符合要求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符合要求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63F49" w:rsidTr="007D61D5">
        <w:trPr>
          <w:trHeight w:val="71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直角转弯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不符合要求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符合要求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63F49" w:rsidTr="007D61D5">
        <w:trPr>
          <w:trHeight w:val="69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公路调头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不符合要求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符合要求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463F49" w:rsidTr="007D61D5">
        <w:trPr>
          <w:trHeight w:val="71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侧方停车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不符合要求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符合要求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49" w:rsidRDefault="00463F49" w:rsidP="007D61D5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463F49" w:rsidRDefault="00463F49" w:rsidP="00463F49"/>
    <w:p w:rsidR="00463F49" w:rsidRDefault="00463F49" w:rsidP="00463F49">
      <w:pPr>
        <w:tabs>
          <w:tab w:val="left" w:pos="9667"/>
        </w:tabs>
        <w:jc w:val="left"/>
      </w:pPr>
    </w:p>
    <w:p w:rsidR="005B7C64" w:rsidRDefault="005B7C64"/>
    <w:sectPr w:rsidR="005B7C64" w:rsidSect="00E838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45" w:rsidRDefault="00324245" w:rsidP="00463F49">
      <w:r>
        <w:separator/>
      </w:r>
    </w:p>
  </w:endnote>
  <w:endnote w:type="continuationSeparator" w:id="0">
    <w:p w:rsidR="00324245" w:rsidRDefault="00324245" w:rsidP="0046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45" w:rsidRDefault="00324245" w:rsidP="00463F49">
      <w:r>
        <w:separator/>
      </w:r>
    </w:p>
  </w:footnote>
  <w:footnote w:type="continuationSeparator" w:id="0">
    <w:p w:rsidR="00324245" w:rsidRDefault="00324245" w:rsidP="0046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23"/>
    <w:rsid w:val="00324245"/>
    <w:rsid w:val="003359AC"/>
    <w:rsid w:val="00463F49"/>
    <w:rsid w:val="0056322C"/>
    <w:rsid w:val="005B7C64"/>
    <w:rsid w:val="00A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F49"/>
    <w:rPr>
      <w:sz w:val="18"/>
      <w:szCs w:val="18"/>
    </w:rPr>
  </w:style>
  <w:style w:type="paragraph" w:styleId="a5">
    <w:name w:val="Plain Text"/>
    <w:basedOn w:val="a"/>
    <w:link w:val="Char1"/>
    <w:qFormat/>
    <w:rsid w:val="00463F49"/>
    <w:rPr>
      <w:rFonts w:ascii="宋体" w:hAnsi="Courier New"/>
    </w:rPr>
  </w:style>
  <w:style w:type="character" w:customStyle="1" w:styleId="Char1">
    <w:name w:val="纯文本 Char"/>
    <w:basedOn w:val="a0"/>
    <w:link w:val="a5"/>
    <w:rsid w:val="00463F49"/>
    <w:rPr>
      <w:rFonts w:ascii="宋体" w:hAnsi="Courier New"/>
      <w:szCs w:val="24"/>
    </w:rPr>
  </w:style>
  <w:style w:type="table" w:styleId="a6">
    <w:name w:val="Table Grid"/>
    <w:basedOn w:val="a1"/>
    <w:qFormat/>
    <w:rsid w:val="00463F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463F4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63F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F49"/>
    <w:rPr>
      <w:sz w:val="18"/>
      <w:szCs w:val="18"/>
    </w:rPr>
  </w:style>
  <w:style w:type="paragraph" w:styleId="a5">
    <w:name w:val="Plain Text"/>
    <w:basedOn w:val="a"/>
    <w:link w:val="Char1"/>
    <w:qFormat/>
    <w:rsid w:val="00463F49"/>
    <w:rPr>
      <w:rFonts w:ascii="宋体" w:hAnsi="Courier New"/>
    </w:rPr>
  </w:style>
  <w:style w:type="character" w:customStyle="1" w:styleId="Char1">
    <w:name w:val="纯文本 Char"/>
    <w:basedOn w:val="a0"/>
    <w:link w:val="a5"/>
    <w:rsid w:val="00463F49"/>
    <w:rPr>
      <w:rFonts w:ascii="宋体" w:hAnsi="Courier New"/>
      <w:szCs w:val="24"/>
    </w:rPr>
  </w:style>
  <w:style w:type="table" w:styleId="a6">
    <w:name w:val="Table Grid"/>
    <w:basedOn w:val="a1"/>
    <w:qFormat/>
    <w:rsid w:val="00463F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463F4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63F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2022-10-19T01:47:00Z</dcterms:created>
  <dcterms:modified xsi:type="dcterms:W3CDTF">2023-03-01T00:41:00Z</dcterms:modified>
</cp:coreProperties>
</file>