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资阳文化旅游发展集团有限公司</w:t>
      </w:r>
      <w:r>
        <w:rPr>
          <w:rFonts w:ascii="Times New Roman" w:hAnsi="Times New Roman" w:eastAsia="方正仿宋_GBK"/>
          <w:kern w:val="0"/>
          <w:sz w:val="32"/>
          <w:szCs w:val="32"/>
        </w:rPr>
        <w:t>选聘高级管理人员公告》（以下简称公告）及相关材料，清楚并理解其内容。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本人聘用期间，公司安排兼任下属公司主要负责人时，同意不另行要求增加薪酬待遇；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</w:t>
      </w:r>
      <w:r>
        <w:rPr>
          <w:rFonts w:ascii="Times New Roman" w:hAnsi="Times New Roman" w:eastAsia="方正仿宋_GBK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承诺人签字：             </w:t>
      </w:r>
    </w:p>
    <w:p>
      <w:pPr>
        <w:widowControl/>
        <w:spacing w:line="600" w:lineRule="exact"/>
        <w:ind w:firstLine="64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2023-01-12T02:38:46Z</dcterms:created>
  <dc:creator>Administrator.DESKTOP-7A1B60C</dc:creator>
  <cp:lastModifiedBy>Administrator</cp:lastModifiedBy>
  <dcterms:modified xsi:type="dcterms:W3CDTF">2023-01-12T02:38:58Z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