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附件1</w:t>
      </w:r>
    </w:p>
    <w:p>
      <w:pPr>
        <w:adjustRightInd w:val="0"/>
        <w:snapToGrid w:val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国家电投集团四川电力有限公司</w:t>
      </w:r>
    </w:p>
    <w:p>
      <w:pPr>
        <w:adjustRightInd w:val="0"/>
        <w:snapToGrid w:val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相关所属单位简介</w:t>
      </w:r>
    </w:p>
    <w:bookmarkEnd w:id="0"/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</w:p>
    <w:p>
      <w:pPr>
        <w:ind w:firstLine="640" w:firstLineChars="200"/>
        <w:rPr>
          <w:rFonts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  <w:szCs w:val="32"/>
        </w:rPr>
        <w:t>一、四川智慧绿动能源有限公司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</w:rPr>
        <w:t>四川智慧绿动能源有限公司（以下简称智慧绿动公司）于2020年5月成立，</w:t>
      </w:r>
      <w:r>
        <w:rPr>
          <w:rFonts w:hint="eastAsia" w:ascii="仿宋_GB2312" w:hAnsi="仿宋" w:eastAsia="仿宋_GB2312"/>
          <w:sz w:val="32"/>
          <w:szCs w:val="32"/>
        </w:rPr>
        <w:t>是四川公司全资设立的综合智慧能源平台企业，注册地址四川省成都市天府新区。公司主要负责综合智慧能源项目开发、投资与建设等工作，以及四川和周边地区能源项目建设及冷热电服务等业务。</w:t>
      </w:r>
      <w:r>
        <w:rPr>
          <w:rFonts w:hint="eastAsia" w:ascii="仿宋_GB2312" w:hAnsi="仿宋_GB2312" w:eastAsia="仿宋_GB2312" w:cs="仿宋_GB2312"/>
          <w:sz w:val="32"/>
        </w:rPr>
        <w:t>现有华西天府医院智慧能源在建项目，五粮液、鹿溪智谷等综合能源项目正在开展前期工作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二、四川兴鼎电力有限责任公司</w:t>
      </w:r>
    </w:p>
    <w:p>
      <w:pPr>
        <w:ind w:firstLine="640" w:firstLineChars="200"/>
        <w:rPr>
          <w:rFonts w:ascii="仿宋_GB2312" w:hAnsi="宋体" w:eastAsia="仿宋_GB2312"/>
          <w:sz w:val="10"/>
          <w:szCs w:val="1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川兴鼎电力有限责任公司（以下简称兴鼎公司）是四川公司控股、贵州金元和黄河公司参股的国家电投集团三级单位，主要负责四川省阿坝州毛尔盖河流域“一库三级”（即剑科水电站、晴朗水电站、西里水电站，总装机容量501MW）水电资源开发建设和生产经营管理。目前兴鼎公司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紧密围绕</w:t>
      </w:r>
      <w:r>
        <w:rPr>
          <w:rFonts w:hint="eastAsia" w:ascii="仿宋_GB2312" w:hAnsi="仿宋_GB2312" w:eastAsia="仿宋_GB2312" w:cs="仿宋_GB2312"/>
          <w:sz w:val="32"/>
          <w:szCs w:val="32"/>
        </w:rPr>
        <w:t>县域经济发展，加快推动剑科水电站建设，</w:t>
      </w:r>
      <w:r>
        <w:rPr>
          <w:rFonts w:hint="eastAsia" w:ascii="仿宋_GB2312" w:hAnsi="Times New Roman" w:eastAsia="仿宋_GB2312"/>
          <w:sz w:val="32"/>
          <w:szCs w:val="32"/>
        </w:rPr>
        <w:t>实施分布式光伏，助力乡村振兴，同时打造综合智慧能源、水光互补绿电基地。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三、国家电投集团四川电力有限公司凉山分公司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国家电投集团四川电力有限公司凉山分公司（以下简称凉山分公司）于2013年5月成立，主要负责凉山州境内风能、水能、光伏等清洁能源开发的前期、建设、生产、经营管理及项目发展工作。项目涉及凉山州喜德县、会东县等地区。目前，凉山分公司区域内2家单位已建立一套人员、多块牌子的组织架构，公司目前总装机33.6万千瓦，均为水电和风电清洁能源，准备开工建设风电项目资源18万千瓦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四、国家电投集团四川阿坝新能源有限公司</w:t>
      </w:r>
    </w:p>
    <w:p>
      <w:pPr>
        <w:pStyle w:val="5"/>
        <w:numPr>
          <w:ilvl w:val="0"/>
          <w:numId w:val="0"/>
        </w:numPr>
        <w:rPr>
          <w:b w:val="0"/>
          <w:bCs/>
        </w:rPr>
      </w:pPr>
      <w:r>
        <w:rPr>
          <w:rFonts w:hint="eastAsia"/>
        </w:rPr>
        <w:t xml:space="preserve">     </w:t>
      </w:r>
      <w:r>
        <w:rPr>
          <w:rFonts w:hint="eastAsia"/>
          <w:b w:val="0"/>
          <w:bCs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国家电投集团四川阿坝新能源有限公司（以下简称阿坝新能源公司）于2015年8月注册成立，是四川公司为打造阿坝百万清洁能源基地、推进新能源开发利用而设立的全资子公司，全面负责阿坝境内风能、太阳能等清洁能源的开发、投资、建设和经营管理，是阿坝州最大的光伏扶贫企业。目前，阿坝新能源公司区域内3家单位已建立一套人员，多块牌子的组织架构，在立足阿坝清洁发展的同时，积极开拓川内省外项目，全力打造以新能源为主体的清洁能源企业。</w:t>
      </w:r>
    </w:p>
    <w:p>
      <w:pPr>
        <w:ind w:firstLine="200" w:firstLineChars="200"/>
        <w:rPr>
          <w:rFonts w:ascii="仿宋_GB2312" w:hAnsi="宋体" w:eastAsia="仿宋_GB2312"/>
          <w:sz w:val="10"/>
          <w:szCs w:val="10"/>
        </w:rPr>
      </w:pPr>
    </w:p>
    <w:p>
      <w:pPr>
        <w:ind w:firstLine="200" w:firstLineChars="200"/>
        <w:rPr>
          <w:rFonts w:ascii="仿宋_GB2312" w:hAnsi="宋体" w:eastAsia="仿宋_GB2312"/>
          <w:bCs/>
          <w:sz w:val="10"/>
          <w:szCs w:val="10"/>
        </w:rPr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Malgun Gothic Semilight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58A2FA3"/>
    <w:multiLevelType w:val="multilevel"/>
    <w:tmpl w:val="358A2FA3"/>
    <w:lvl w:ilvl="0" w:tentative="0">
      <w:start w:val="1"/>
      <w:numFmt w:val="bullet"/>
      <w:lvlText w:val=""/>
      <w:lvlJc w:val="left"/>
      <w:pPr>
        <w:tabs>
          <w:tab w:val="left" w:pos="1814"/>
        </w:tabs>
        <w:ind w:left="1814" w:hanging="396"/>
      </w:pPr>
      <w:rPr>
        <w:rFonts w:ascii="Wingdings" w:hAnsi="Wingdings"/>
      </w:rPr>
    </w:lvl>
    <w:lvl w:ilvl="1" w:tentative="0">
      <w:start w:val="1"/>
      <w:numFmt w:val="bullet"/>
      <w:pStyle w:val="5"/>
      <w:lvlText w:val=""/>
      <w:lvlJc w:val="left"/>
      <w:pPr>
        <w:ind w:left="2258" w:hanging="420"/>
      </w:pPr>
      <w:rPr>
        <w:rFonts w:ascii="Wingdings" w:hAnsi="Wingdings"/>
      </w:rPr>
    </w:lvl>
    <w:lvl w:ilvl="2" w:tentative="0">
      <w:start w:val="1"/>
      <w:numFmt w:val="bullet"/>
      <w:lvlText w:val=""/>
      <w:lvlJc w:val="left"/>
      <w:pPr>
        <w:ind w:left="2678" w:hanging="420"/>
      </w:pPr>
      <w:rPr>
        <w:rFonts w:ascii="Wingdings" w:hAnsi="Wingdings"/>
      </w:rPr>
    </w:lvl>
    <w:lvl w:ilvl="3" w:tentative="0">
      <w:start w:val="1"/>
      <w:numFmt w:val="bullet"/>
      <w:lvlText w:val=""/>
      <w:lvlJc w:val="left"/>
      <w:pPr>
        <w:ind w:left="3098" w:hanging="420"/>
      </w:pPr>
      <w:rPr>
        <w:rFonts w:ascii="Wingdings" w:hAnsi="Wingdings"/>
      </w:rPr>
    </w:lvl>
    <w:lvl w:ilvl="4" w:tentative="0">
      <w:start w:val="1"/>
      <w:numFmt w:val="bullet"/>
      <w:lvlText w:val=""/>
      <w:lvlJc w:val="left"/>
      <w:pPr>
        <w:ind w:left="3518" w:hanging="420"/>
      </w:pPr>
      <w:rPr>
        <w:rFonts w:ascii="Wingdings" w:hAnsi="Wingdings"/>
      </w:rPr>
    </w:lvl>
    <w:lvl w:ilvl="5" w:tentative="0">
      <w:start w:val="1"/>
      <w:numFmt w:val="bullet"/>
      <w:lvlText w:val=""/>
      <w:lvlJc w:val="left"/>
      <w:pPr>
        <w:ind w:left="3938" w:hanging="420"/>
      </w:pPr>
      <w:rPr>
        <w:rFonts w:ascii="Wingdings" w:hAnsi="Wingdings"/>
      </w:rPr>
    </w:lvl>
    <w:lvl w:ilvl="6" w:tentative="0">
      <w:start w:val="1"/>
      <w:numFmt w:val="bullet"/>
      <w:lvlText w:val=""/>
      <w:lvlJc w:val="left"/>
      <w:pPr>
        <w:ind w:left="4358" w:hanging="420"/>
      </w:pPr>
      <w:rPr>
        <w:rFonts w:ascii="Wingdings" w:hAnsi="Wingdings"/>
      </w:rPr>
    </w:lvl>
    <w:lvl w:ilvl="7" w:tentative="0">
      <w:start w:val="1"/>
      <w:numFmt w:val="bullet"/>
      <w:lvlText w:val=""/>
      <w:lvlJc w:val="left"/>
      <w:pPr>
        <w:ind w:left="4778" w:hanging="420"/>
      </w:pPr>
      <w:rPr>
        <w:rFonts w:ascii="Wingdings" w:hAnsi="Wingdings"/>
      </w:rPr>
    </w:lvl>
    <w:lvl w:ilvl="8" w:tentative="0">
      <w:start w:val="1"/>
      <w:numFmt w:val="bullet"/>
      <w:lvlText w:val=""/>
      <w:lvlJc w:val="left"/>
      <w:pPr>
        <w:ind w:left="5198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F247CD"/>
    <w:rsid w:val="5FF2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黑体"/>
      <w:sz w:val="18"/>
      <w:szCs w:val="18"/>
    </w:rPr>
  </w:style>
  <w:style w:type="paragraph" w:customStyle="1" w:styleId="5">
    <w:name w:val="UserStyle_0"/>
    <w:basedOn w:val="1"/>
    <w:next w:val="1"/>
    <w:qFormat/>
    <w:uiPriority w:val="0"/>
    <w:pPr>
      <w:widowControl/>
      <w:numPr>
        <w:ilvl w:val="1"/>
        <w:numId w:val="1"/>
      </w:numPr>
      <w:tabs>
        <w:tab w:val="left" w:pos="360"/>
        <w:tab w:val="left" w:pos="1814"/>
      </w:tabs>
      <w:textAlignment w:val="baseline"/>
    </w:pPr>
    <w:rPr>
      <w:rFonts w:ascii="Times New Roman" w:hAnsi="Times New Roman" w:eastAsia="黑体"/>
      <w:b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2022-01-04T10:15:00Z</dcterms:created>
  <dc:creator>高与伦</dc:creator>
  <cp:lastModifiedBy>高与伦</cp:lastModifiedBy>
  <dcterms:modified xsi:type="dcterms:W3CDTF">2022-01-04T10:16:04Z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AF4BB273283642378CC0BB72ABF84313</vt:lpwstr>
  </property>
</Properties>
</file>