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2022年成都市锦江区事业单位公开考试招聘工作人员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面试安排表</w:t>
      </w:r>
    </w:p>
    <w:tbl>
      <w:tblPr>
        <w:tblStyle w:val="3"/>
        <w:tblpPr w:leftFromText="180" w:rightFromText="180" w:vertAnchor="page" w:horzAnchor="page" w:tblpX="1513" w:tblpY="3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130"/>
        <w:gridCol w:w="2655"/>
        <w:gridCol w:w="2235"/>
        <w:gridCol w:w="258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面试时间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到达时间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面试地点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区委党校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2022年12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  <w:t>（星期一）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  <w:t>下午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14:00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下午13:00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到达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成都市锦江区教育科学研究院（成都市锦江区皇经楼三街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1号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下午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13：30仍未到达指定候考室的，视为自动放弃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区人才发展中心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综合管理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综合管理B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综合管理C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产业发展A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产业发展B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城建规划A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城建规划B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2022年12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  <w:t>（星期二）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8"/>
                <w:szCs w:val="28"/>
                <w:lang w:val="en-US" w:eastAsia="zh-CN"/>
              </w:rPr>
              <w:t>09:00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上午08:00到达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上午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08：30仍未到达指定候考室的，视为自动放弃</w:t>
            </w:r>
          </w:p>
        </w:tc>
      </w:tr>
    </w:tbl>
    <w:p>
      <w:pP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4172"/>
    <w:rsid w:val="0F5A298B"/>
    <w:rsid w:val="14E85721"/>
    <w:rsid w:val="171D7FAF"/>
    <w:rsid w:val="1B682C64"/>
    <w:rsid w:val="1F5E4903"/>
    <w:rsid w:val="2E2500EF"/>
    <w:rsid w:val="31A76D74"/>
    <w:rsid w:val="39DD6C47"/>
    <w:rsid w:val="3DEE35A5"/>
    <w:rsid w:val="63E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2022-12-02T01:03:00Z</dcterms:created>
  <dc:creator>Administrator</dc:creator>
  <cp:lastModifiedBy>Administrator</cp:lastModifiedBy>
  <cp:lastPrinted>2022-12-02T03:24:01Z</cp:lastPrinted>
  <dcterms:modified xsi:type="dcterms:W3CDTF">2022-12-02T05:25:52Z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