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default" w:ascii="方正小标宋简体" w:hAnsi="Calibri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highlight w:val="none"/>
        </w:rPr>
        <w:t>宁波市镇海金汇集团有限公司招聘</w:t>
      </w:r>
      <w:r>
        <w:rPr>
          <w:rFonts w:hint="eastAsia" w:ascii="方正小标宋简体" w:hAnsi="Calibri" w:eastAsia="方正小标宋简体" w:cs="Times New Roman"/>
          <w:sz w:val="44"/>
          <w:szCs w:val="44"/>
          <w:highlight w:val="none"/>
          <w:lang w:val="en-US" w:eastAsia="zh-CN"/>
        </w:rPr>
        <w:t>需求表</w:t>
      </w:r>
    </w:p>
    <w:p>
      <w:pPr>
        <w:rPr>
          <w:rFonts w:hint="eastAsia" w:ascii="方正小标宋简体" w:hAnsi="Calibri" w:eastAsia="方正小标宋简体" w:cs="Times New Roman"/>
          <w:sz w:val="32"/>
          <w:szCs w:val="32"/>
          <w:highlight w:val="none"/>
          <w:lang w:val="en-US" w:eastAsia="zh-CN"/>
        </w:rPr>
      </w:pP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910"/>
        <w:gridCol w:w="890"/>
        <w:gridCol w:w="2750"/>
        <w:gridCol w:w="3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09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黑体" w:eastAsia="仿宋_GB2312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sz w:val="32"/>
                <w:szCs w:val="32"/>
                <w:highlight w:val="none"/>
              </w:rPr>
              <w:t>部门</w:t>
            </w:r>
          </w:p>
        </w:tc>
        <w:tc>
          <w:tcPr>
            <w:tcW w:w="502" w:type="pct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黑体" w:eastAsia="仿宋_GB2312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sz w:val="32"/>
                <w:szCs w:val="32"/>
                <w:highlight w:val="none"/>
              </w:rPr>
              <w:t>岗位</w:t>
            </w:r>
          </w:p>
        </w:tc>
        <w:tc>
          <w:tcPr>
            <w:tcW w:w="490" w:type="pct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黑体" w:eastAsia="仿宋_GB2312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sz w:val="32"/>
                <w:szCs w:val="32"/>
                <w:highlight w:val="none"/>
              </w:rPr>
              <w:t>人数</w:t>
            </w:r>
          </w:p>
        </w:tc>
        <w:tc>
          <w:tcPr>
            <w:tcW w:w="151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黑体" w:eastAsia="仿宋_GB2312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sz w:val="32"/>
                <w:szCs w:val="32"/>
                <w:highlight w:val="none"/>
                <w:lang w:val="en-US" w:eastAsia="zh-CN"/>
              </w:rPr>
              <w:t>工作职责</w:t>
            </w:r>
          </w:p>
        </w:tc>
        <w:tc>
          <w:tcPr>
            <w:tcW w:w="1879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黑体" w:eastAsia="仿宋_GB2312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sz w:val="32"/>
                <w:szCs w:val="32"/>
                <w:highlight w:val="none"/>
              </w:rPr>
              <w:t>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8" w:hRule="atLeast"/>
        </w:trPr>
        <w:tc>
          <w:tcPr>
            <w:tcW w:w="60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黑体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val="en-US" w:eastAsia="zh-CN"/>
              </w:rPr>
              <w:t>综合管理部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val="en-US" w:eastAsia="zh-CN"/>
              </w:rPr>
              <w:t>文秘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val="en-US" w:eastAsia="zh-CN"/>
              </w:rPr>
              <w:t>负责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</w:rPr>
              <w:t>领导讲话稿、会议材料、工作总结、综合性汇报及新闻稿等各类文字和宣传材料的撰写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val="en-US" w:eastAsia="zh-CN"/>
              </w:rPr>
              <w:t>及其他领导交办的任务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eastAsia="zh-CN"/>
              </w:rPr>
              <w:t>。</w:t>
            </w:r>
          </w:p>
        </w:tc>
        <w:tc>
          <w:tcPr>
            <w:tcW w:w="1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</w:rPr>
              <w:t>1.本科及以上学历、中国语言文学类、新闻传播学类、金融学类等相关专业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</w:rPr>
              <w:t>2.年龄原则上在35周岁及以下，中共党员，有政府机关、事业单位、国企办公室等工作经验者优先；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</w:rPr>
              <w:t>3.具有良好的语言逻辑表达能力、沟通能力、综合分析能力和文字功底，熟悉金融行业相关知识；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</w:rPr>
              <w:t>4.具备较强的事业心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val="en-US" w:eastAsia="zh-CN"/>
              </w:rPr>
              <w:t>与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</w:rPr>
              <w:t>责任感，能够吃苦耐劳，有较好的抗压能力和乐于奉献、勇于创新的精神</w:t>
            </w: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602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黑体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仿宋_GB2312" w:hAnsi="黑体" w:eastAsia="仿宋_GB2312" w:cs="Times New Roman"/>
                <w:b/>
                <w:bCs/>
                <w:sz w:val="28"/>
                <w:szCs w:val="28"/>
                <w:highlight w:val="none"/>
                <w:lang w:eastAsia="zh-CN"/>
              </w:rPr>
              <w:t>报名资料发送邮箱</w:t>
            </w:r>
          </w:p>
        </w:tc>
        <w:tc>
          <w:tcPr>
            <w:tcW w:w="3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_GB2312" w:hAnsi="黑体" w:eastAsia="仿宋_GB2312" w:cs="Times New Roman"/>
                <w:sz w:val="28"/>
                <w:szCs w:val="28"/>
                <w:highlight w:val="none"/>
                <w:lang w:eastAsia="zh-CN"/>
              </w:rPr>
              <w:t>hr@nbzhjhgroup.com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602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黑体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岗位总分构成比例</w:t>
            </w:r>
          </w:p>
        </w:tc>
        <w:tc>
          <w:tcPr>
            <w:tcW w:w="3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val="en-US" w:eastAsia="zh-CN"/>
              </w:rPr>
              <w:t>笔试成绩和面试成绩均为百分制，岗位总分构成比例为笔试成</w:t>
            </w:r>
            <w:bookmarkStart w:id="0" w:name="_GoBack"/>
            <w:bookmarkEnd w:id="0"/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val="en-US" w:eastAsia="zh-CN"/>
              </w:rPr>
              <w:t>绩*40%+面试成绩*60%。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602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黑体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咨询电话</w:t>
            </w:r>
          </w:p>
        </w:tc>
        <w:tc>
          <w:tcPr>
            <w:tcW w:w="3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8"/>
                <w:szCs w:val="28"/>
                <w:highlight w:val="none"/>
                <w:lang w:val="en-US" w:eastAsia="zh-CN"/>
              </w:rPr>
              <w:t>0574-86579902（顾老师）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ZmQyMjdmOWRkZjJkZjkwNjg2Mjk0OThmOTU5NmQifQ=="/>
  </w:docVars>
  <w:rsids>
    <w:rsidRoot w:val="23C41E83"/>
    <w:rsid w:val="042F7D8A"/>
    <w:rsid w:val="11F72105"/>
    <w:rsid w:val="23C41E83"/>
    <w:rsid w:val="37A76941"/>
    <w:rsid w:val="504C39F2"/>
    <w:rsid w:val="617918EC"/>
    <w:rsid w:val="6EFFF483"/>
    <w:rsid w:val="FDAD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310</Words>
  <Characters>348</Characters>
  <Lines>0</Lines>
  <Paragraphs>0</Paragraphs>
  <TotalTime>6</TotalTime>
  <ScaleCrop>false</ScaleCrop>
  <LinksUpToDate>false</LinksUpToDate>
  <CharactersWithSpaces>348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2022-10-10T22:38:00Z</dcterms:created>
  <dc:creator>超凡之萌Ⅱ</dc:creator>
  <cp:lastModifiedBy>金汇集团</cp:lastModifiedBy>
  <dcterms:modified xsi:type="dcterms:W3CDTF">2022-10-17T08:04:41Z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4E657790FB984A2DAE2AD9A0C0D47B2A</vt:lpwstr>
  </property>
</Properties>
</file>