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</w:p>
    <w:tbl>
      <w:tblPr>
        <w:tblStyle w:val="4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615"/>
        <w:gridCol w:w="3821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全日制普通高校，研究生及以上学历，硕士及以上学位，需具备执业资格，中级以下职称者需完成规培。具备副主任医师及以上职称，并在三级医院从事肾脏病专业工作经验者优先录用。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年龄不超过45周岁（时间计算至2022年9月30日）。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血液学、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瘤学、风湿学专业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全日制普通高校，研究生及以上学历，硕士及以上学位，需具备执业资格，中级以下职称者需完成规培。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年龄不超过45周岁（时间计算至2022年9月30日）。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驻点医务室医师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大专及以上学历，需具备执业资格，具备2年以上临床工作经验。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年龄不超过55周岁（时间计算至2022年9月30日）。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2EE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2022-10-12T08:27:55Z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FBF6369F419342F7AA221242369D28F6</vt:lpwstr>
  </property>
</Properties>
</file>