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600" w:lineRule="exact"/>
        <w:jc w:val="both"/>
        <w:rPr>
          <w:rFonts w:ascii="仿宋_GB2312" w:hAnsi="??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??" w:eastAsia="仿宋_GB2312" w:cs="仿宋_GB2312"/>
          <w:color w:val="000000"/>
          <w:sz w:val="32"/>
          <w:szCs w:val="32"/>
          <w:shd w:val="clear" w:color="auto" w:fill="FFFFFF"/>
        </w:rPr>
        <w:t>附件2</w:t>
      </w:r>
    </w:p>
    <w:p>
      <w:pPr>
        <w:spacing w:line="360" w:lineRule="auto"/>
        <w:jc w:val="center"/>
        <w:rPr>
          <w:rFonts w:ascii="华文中宋" w:hAnsi="华文中宋" w:eastAsia="华文中宋" w:cs="华文中宋"/>
          <w:b/>
          <w:bCs/>
          <w:sz w:val="44"/>
          <w:szCs w:val="44"/>
        </w:rPr>
      </w:pPr>
      <w:bookmarkStart w:id="0" w:name="_GoBack"/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“预申报行程”操作步骤</w:t>
      </w:r>
    </w:p>
    <w:bookmarkEnd w:id="0"/>
    <w:p>
      <w:pPr>
        <w:pStyle w:val="2"/>
        <w:spacing w:before="0" w:beforeAutospacing="0" w:after="225" w:afterAutospacing="0"/>
      </w:pPr>
      <w:r>
        <w:rPr>
          <w:rFonts w:ascii="微软雅黑" w:hAnsi="微软雅黑" w:eastAsia="微软雅黑" w:cs="微软雅黑"/>
          <w:color w:val="000000"/>
          <w:sz w:val="25"/>
          <w:szCs w:val="25"/>
        </w:rPr>
        <w:drawing>
          <wp:inline distT="0" distB="0" distL="114300" distR="114300">
            <wp:extent cx="5280025" cy="2439670"/>
            <wp:effectExtent l="0" t="0" r="15875" b="177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225" w:afterAutospacing="0"/>
        <w:jc w:val="both"/>
        <w:rPr>
          <w:rFonts w:ascii="仿宋_GB2312" w:hAnsi="仿宋_GB2312" w:eastAsia="仿宋_GB2312" w:cs="仿宋_GB2312"/>
        </w:rPr>
      </w:pPr>
      <w:r>
        <w:rPr>
          <w:rStyle w:val="5"/>
          <w:rFonts w:hint="eastAsia" w:ascii="仿宋_GB2312" w:hAnsi="仿宋_GB2312" w:eastAsia="仿宋_GB2312" w:cs="仿宋_GB2312"/>
        </w:rPr>
        <w:t>（一）亮码申报</w:t>
      </w:r>
    </w:p>
    <w:p>
      <w:pPr>
        <w:pStyle w:val="2"/>
        <w:spacing w:before="0" w:beforeAutospacing="0" w:after="225" w:afterAutospacing="0"/>
        <w:ind w:firstLine="420"/>
        <w:jc w:val="both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在亮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“温州防疫码”</w:t>
      </w:r>
      <w:r>
        <w:rPr>
          <w:rFonts w:hint="eastAsia" w:ascii="仿宋_GB2312" w:hAnsi="仿宋_GB2312" w:eastAsia="仿宋_GB2312" w:cs="仿宋_GB2312"/>
        </w:rPr>
        <w:t>页面会根据用户授权的定位信息，对不在温州的用户会弹窗提示页面，提醒用户可以进行返温来温预申报。同时亮码页面最下方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“相关服务”</w:t>
      </w:r>
      <w:r>
        <w:rPr>
          <w:rFonts w:hint="eastAsia" w:ascii="仿宋_GB2312" w:hAnsi="仿宋_GB2312" w:eastAsia="仿宋_GB2312" w:cs="仿宋_GB2312"/>
        </w:rPr>
        <w:t>添加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“返温来温预申报”入口</w:t>
      </w:r>
      <w:r>
        <w:rPr>
          <w:rFonts w:hint="eastAsia" w:ascii="仿宋_GB2312" w:hAnsi="仿宋_GB2312" w:eastAsia="仿宋_GB2312" w:cs="仿宋_GB2312"/>
        </w:rPr>
        <w:t>（见下图）。</w:t>
      </w:r>
    </w:p>
    <w:p>
      <w:pPr>
        <w:pStyle w:val="2"/>
        <w:spacing w:before="0" w:beforeAutospacing="0" w:after="0" w:afterAutospacing="0"/>
        <w:jc w:val="center"/>
      </w:pPr>
      <w:r>
        <w:drawing>
          <wp:inline distT="0" distB="0" distL="114300" distR="114300">
            <wp:extent cx="4333240" cy="4010660"/>
            <wp:effectExtent l="0" t="0" r="10160" b="889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225" w:afterAutospacing="0"/>
      </w:pPr>
    </w:p>
    <w:p>
      <w:pPr>
        <w:pStyle w:val="2"/>
        <w:spacing w:before="0" w:beforeAutospacing="0" w:after="225" w:afterAutospacing="0"/>
      </w:pPr>
      <w:r>
        <w:rPr>
          <w:rStyle w:val="5"/>
        </w:rPr>
        <w:t>（二）返温来温预申报</w:t>
      </w:r>
    </w:p>
    <w:p>
      <w:pPr>
        <w:pStyle w:val="2"/>
        <w:spacing w:before="0" w:beforeAutospacing="0" w:after="225" w:afterAutospacing="0"/>
        <w:ind w:firstLine="420"/>
        <w:jc w:val="both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进入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预申报界面</w:t>
      </w:r>
      <w:r>
        <w:rPr>
          <w:rFonts w:hint="eastAsia" w:ascii="仿宋_GB2312" w:hAnsi="仿宋_GB2312" w:eastAsia="仿宋_GB2312" w:cs="仿宋_GB2312"/>
        </w:rPr>
        <w:t>，系统会自动进行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个人涉疫风险研判</w:t>
      </w:r>
      <w:r>
        <w:rPr>
          <w:rFonts w:hint="eastAsia" w:ascii="仿宋_GB2312" w:hAnsi="仿宋_GB2312" w:eastAsia="仿宋_GB2312" w:cs="仿宋_GB2312"/>
        </w:rPr>
        <w:t>，并将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研判后的结果提醒用户</w:t>
      </w:r>
      <w:r>
        <w:rPr>
          <w:rFonts w:hint="eastAsia" w:ascii="仿宋_GB2312" w:hAnsi="仿宋_GB2312" w:eastAsia="仿宋_GB2312" w:cs="仿宋_GB2312"/>
        </w:rPr>
        <w:t>，用户可以</w:t>
      </w:r>
      <w:r>
        <w:rPr>
          <w:rStyle w:val="5"/>
          <w:rFonts w:hint="eastAsia" w:ascii="仿宋_GB2312" w:hAnsi="仿宋_GB2312" w:eastAsia="仿宋_GB2312" w:cs="仿宋_GB2312"/>
          <w:color w:val="0052FF"/>
        </w:rPr>
        <w:t>申报个人信息</w:t>
      </w:r>
      <w:r>
        <w:rPr>
          <w:rFonts w:hint="eastAsia" w:ascii="仿宋_GB2312" w:hAnsi="仿宋_GB2312" w:eastAsia="仿宋_GB2312" w:cs="仿宋_GB2312"/>
        </w:rPr>
        <w:t>（见下图）：</w:t>
      </w:r>
    </w:p>
    <w:p>
      <w:pPr>
        <w:pStyle w:val="2"/>
        <w:spacing w:before="0" w:beforeAutospacing="0" w:after="225" w:afterAutospacing="0"/>
        <w:jc w:val="center"/>
      </w:pPr>
      <w:r>
        <w:drawing>
          <wp:inline distT="0" distB="0" distL="114300" distR="114300">
            <wp:extent cx="3313430" cy="3710940"/>
            <wp:effectExtent l="0" t="0" r="1270" b="381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420"/>
        <w:rPr>
          <w:rFonts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color w:val="0070C0"/>
        </w:rPr>
        <w:t>1、“是否返温来温”选择“是”：</w:t>
      </w:r>
    </w:p>
    <w:p>
      <w:pPr>
        <w:pStyle w:val="2"/>
        <w:spacing w:before="0" w:beforeAutospacing="0" w:after="225" w:afterAutospacing="0"/>
        <w:jc w:val="center"/>
      </w:pPr>
      <w:r>
        <w:drawing>
          <wp:inline distT="0" distB="0" distL="114300" distR="114300">
            <wp:extent cx="5728335" cy="3420745"/>
            <wp:effectExtent l="0" t="0" r="5715" b="825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420"/>
        <w:rPr>
          <w:b/>
          <w:bCs/>
        </w:rPr>
      </w:pPr>
      <w:r>
        <w:rPr>
          <w:b/>
          <w:bCs/>
          <w:color w:val="0070C0"/>
        </w:rPr>
        <w:t>2、“是否返温来温”选择“否”：</w:t>
      </w:r>
    </w:p>
    <w:p>
      <w:pPr>
        <w:pStyle w:val="2"/>
        <w:spacing w:before="0" w:beforeAutospacing="0" w:after="0" w:afterAutospacing="0"/>
        <w:jc w:val="center"/>
      </w:pPr>
      <w:r>
        <w:drawing>
          <wp:inline distT="0" distB="0" distL="114300" distR="114300">
            <wp:extent cx="6127750" cy="5408295"/>
            <wp:effectExtent l="0" t="0" r="6350" b="190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jc w:val="center"/>
      </w:pPr>
    </w:p>
    <w:p>
      <w:pPr>
        <w:pStyle w:val="2"/>
        <w:spacing w:before="0" w:beforeAutospacing="0" w:after="225" w:afterAutospacing="0"/>
      </w:pPr>
      <w:r>
        <w:rPr>
          <w:rStyle w:val="5"/>
        </w:rPr>
        <w:t>（三）返温来温预申报的个人风险研判说明</w:t>
      </w:r>
    </w:p>
    <w:p>
      <w:pPr>
        <w:pStyle w:val="2"/>
        <w:spacing w:before="0" w:beforeAutospacing="0" w:after="0" w:afterAutospacing="0"/>
      </w:pPr>
      <w:r>
        <w:drawing>
          <wp:inline distT="0" distB="0" distL="114300" distR="114300">
            <wp:extent cx="4787265" cy="2601595"/>
            <wp:effectExtent l="0" t="0" r="1333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jc w:val="center"/>
      </w:pPr>
      <w:r>
        <w:drawing>
          <wp:inline distT="0" distB="0" distL="114300" distR="114300">
            <wp:extent cx="5489575" cy="2419350"/>
            <wp:effectExtent l="0" t="0" r="1587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</w:pPr>
      <w:r>
        <w:drawing>
          <wp:inline distT="0" distB="0" distL="114300" distR="114300">
            <wp:extent cx="5024755" cy="2600960"/>
            <wp:effectExtent l="0" t="0" r="4445" b="889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225" w:afterAutospacing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454545"/>
          <w:spacing w:val="0"/>
          <w:sz w:val="32"/>
          <w:szCs w:val="32"/>
          <w:u w:val="none"/>
          <w:shd w:val="clear" w:fill="FFFFFF"/>
        </w:rPr>
      </w:pPr>
      <w:r>
        <w:rPr>
          <w:rStyle w:val="5"/>
          <w:rFonts w:hint="eastAsia" w:ascii="仿宋_GB2312" w:hAnsi="仿宋_GB2312" w:eastAsia="仿宋_GB2312" w:cs="仿宋_GB2312"/>
          <w:color w:val="0052FF"/>
          <w:sz w:val="28"/>
          <w:szCs w:val="28"/>
        </w:rPr>
        <w:t>（注：以上防疫码截图供参考，具体以防疫码实际截图为准）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??">
    <w:altName w:val="华文中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YWZiNDY0NDc3NGFhYWI4OTg1MTRlOTM1NjgwYTAifQ=="/>
  </w:docVars>
  <w:rsids>
    <w:rsidRoot w:val="281B687D"/>
    <w:rsid w:val="281B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2022-09-13T09:49:00Z</dcterms:created>
  <dc:creator>有幻想症</dc:creator>
  <cp:lastModifiedBy>有幻想症</cp:lastModifiedBy>
  <dcterms:modified xsi:type="dcterms:W3CDTF">2022-09-13T09:50:08Z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AA243569EB274D85B4A9BB89F67B0A44</vt:lpwstr>
  </property>
</Properties>
</file>