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仙居县经济和信息化局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关于公开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选调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工作人员的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各乡镇街道，县级机关各单位：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根据工作需要，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经济和信息化局拟面向全县范围内公开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选调公务员、参公人员各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1名，现将有关事项公告如下：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仙居县经济和信息化局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公务员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1名，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下属事业单位</w:t>
      </w:r>
      <w:r>
        <w:rPr>
          <w:rFonts w:hint="eastAsia" w:ascii="仿宋_GB2312" w:eastAsia="仿宋_GB2312"/>
          <w:kern w:val="10"/>
          <w:sz w:val="32"/>
          <w:szCs w:val="32"/>
        </w:rPr>
        <w:t>仙居县墙体革新中心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参公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人员1名。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条件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选调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对象为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全县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在编在岗的公务员、参照公务员法管理的机关（单位）工作人员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事业单位工作人员，并应具备以下条件：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（一）思想政治素质好，事业心和责任感强，廉洁自律，甘于奉献，身体健康。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全日制大学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及以上学历，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专业不限，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具有较强的组织协调能力和语言文字表达能力。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（三）35周岁以下(198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日以后出生),在单位担任中层或研究生学历的，年龄放宽至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42周岁以下（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日以后出生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新录用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在同一机关工作需满3周年（在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乡镇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、街道的需满5周年），与招录机关签订最低服务工作年限的，按协议执行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，距离最近一次转任需满一年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（五）在单位工作表现良好，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考核结果均为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称职以上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等次。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三、选调程序和方法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本次公开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工作，经报名、资格审查、笔试、面试、考察、公示后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择优录用。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报名时间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日，上午8：00-11：30，下午14：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-17：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采取现场报名方式，凡符合选调条件的人员，请参加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人员如实填写《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工作人员报名表》，经单位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和主管部门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同意，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"mailto:并在单位意见栏加盖公章后扫描成电子件连同发送到xfbmsyk1@163.com" </w:instrTex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并在单位意见栏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主管部门意见栏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加盖公章，同时需提供本人身份证、学历证书等原件并附复印件1份，以及近期1寸免冠彩色照片1张。报名地点：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经济和信息化局（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仙居县安洲南路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318号世纪华都10楼1002室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，联系电话：0576-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87779915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仙居县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将对报名者的资格条件进行审查。经审查合格的人员，参加笔试。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符合报考条件的人数与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计划数的比例低于3:1的，则取消相应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笔试成绩满分为100分，笔试合格线为60分，考试形式、时间、地点另行通知。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在笔试合格人员中，按笔试总成绩从高分到低分1：3比例确定面试对象，不足1：3比例的按实际入围人数参加面试。面试成绩满分为100分，面试合格线为60分。面试不合格者，不得进入考察。面试时间和地点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按总成绩（笔试占40%，面试占60%）从高分到低分按1:2的比例确定考察对象。考察由仙居县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组织实施，对考察人选的德、能、勤、绩、廉等方面进行全面考察。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（七）公示调动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考察结束后，考察合格人员为拟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人员，拟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人员将公示5个工作日。公示期满后，对拟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人员没有异议或反映有问题经查实不影响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使用的，按规定办理相关手续。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因公示期间有异议并查实被取消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资格或拟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人员放弃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资格，在拟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人员上报审批前按总成绩从高分到低分依次递补。拟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人员上报审批之后，因拟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人员主动放弃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资格或被取消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资格的，不再递补。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四、具有下列情形之一的，不得参加选调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1.按照有关政策规定，工作未满最低服务年限或对转任有其他限制性要求的；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2.选调任职后即形成回避关系的；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3.法律、法规规定的其他情形。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未尽事宜，由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经济和信息化局办公室负责解释。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经济和信息化局公开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工作人员报名表</w:t>
      </w: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仙居县经济和信息化局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2022年9月1日</w:t>
      </w: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  <w:lang w:eastAsia="zh-CN"/>
        </w:rPr>
        <w:t>仙居县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  <w:t>经济和信息化局公开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  <w:lang w:eastAsia="zh-CN"/>
        </w:rPr>
        <w:t>选调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  <w:t>工作人员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  <w:t>报名登记表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36"/>
        <w:gridCol w:w="14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报名岗位</w:t>
            </w:r>
          </w:p>
        </w:tc>
        <w:tc>
          <w:tcPr>
            <w:tcW w:w="591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t>仙居县经济和信息化局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instrText xml:space="preserve"> HYPERLINK "http://xinzhi.wenda.so.com/a/1516862139618953" \t "/home/ylf/Documents\\x/_blank" </w:instrTex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t>口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  仙居县墙材革新中心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instrText xml:space="preserve"> HYPERLINK "http://xinzhi.wenda.so.com/a/1516862139618953" \t "/home/ylf/Documents\\x/_blank" </w:instrTex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t>口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10101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编 制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健康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爱好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特长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及职务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主管部门意见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选调单位审核意见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家庭主要成员填写配偶、子女、父母、岳父母（公婆）等。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A2E82"/>
    <w:multiLevelType w:val="singleLevel"/>
    <w:tmpl w:val="EF7A2E8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C237D"/>
    <w:multiLevelType w:val="singleLevel"/>
    <w:tmpl w:val="FFFC23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BB1EA8"/>
    <w:multiLevelType w:val="singleLevel"/>
    <w:tmpl w:val="3FBB1E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2795B"/>
    <w:rsid w:val="037F07E9"/>
    <w:rsid w:val="26FC8F7C"/>
    <w:rsid w:val="291D0521"/>
    <w:rsid w:val="2BB06FC0"/>
    <w:rsid w:val="32D872F9"/>
    <w:rsid w:val="337DBD71"/>
    <w:rsid w:val="33FFE1A6"/>
    <w:rsid w:val="374D4042"/>
    <w:rsid w:val="3A7F8719"/>
    <w:rsid w:val="3EF71E94"/>
    <w:rsid w:val="45C100A4"/>
    <w:rsid w:val="51D432E6"/>
    <w:rsid w:val="55D69FC2"/>
    <w:rsid w:val="5C3F42EE"/>
    <w:rsid w:val="63FFFD33"/>
    <w:rsid w:val="658F554E"/>
    <w:rsid w:val="6BFFEFCA"/>
    <w:rsid w:val="6D7707CF"/>
    <w:rsid w:val="6DA190FF"/>
    <w:rsid w:val="6DF7BF5A"/>
    <w:rsid w:val="7942795B"/>
    <w:rsid w:val="79FC6D1C"/>
    <w:rsid w:val="7B9FB2A5"/>
    <w:rsid w:val="7DF3F0F3"/>
    <w:rsid w:val="7F376B9D"/>
    <w:rsid w:val="7F7FC2D7"/>
    <w:rsid w:val="7FFF2AC0"/>
    <w:rsid w:val="AADD767F"/>
    <w:rsid w:val="AFDD28A4"/>
    <w:rsid w:val="B3697474"/>
    <w:rsid w:val="BAE5A053"/>
    <w:rsid w:val="BD794129"/>
    <w:rsid w:val="BDFF75F7"/>
    <w:rsid w:val="BEDF61CB"/>
    <w:rsid w:val="BFF5AB06"/>
    <w:rsid w:val="CEF9EBD4"/>
    <w:rsid w:val="CEFE77DC"/>
    <w:rsid w:val="D7EE2DF1"/>
    <w:rsid w:val="DFF72A56"/>
    <w:rsid w:val="EDF3C503"/>
    <w:rsid w:val="EEDEB8BD"/>
    <w:rsid w:val="EFD77F8C"/>
    <w:rsid w:val="F2DF20C9"/>
    <w:rsid w:val="F2FE0325"/>
    <w:rsid w:val="F7C79A84"/>
    <w:rsid w:val="F7DAF97D"/>
    <w:rsid w:val="FBFD7257"/>
    <w:rsid w:val="FECF8C03"/>
    <w:rsid w:val="FEFF0F6C"/>
    <w:rsid w:val="FF746769"/>
    <w:rsid w:val="FFB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2020-08-11T06:53:00Z</dcterms:created>
  <dc:creator>丽芳</dc:creator>
  <cp:lastModifiedBy>丽芳</cp:lastModifiedBy>
  <cp:lastPrinted>2022-07-13T15:44:00Z</cp:lastPrinted>
  <dcterms:modified xsi:type="dcterms:W3CDTF">2022-09-01T16:39:35Z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