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6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南雄市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国投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招聘管理人员的薪酬和有关要求的特别说明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楷体_GB2312" w:hAnsi="楷体_GB2312" w:eastAsia="楷体_GB2312" w:cs="楷体_GB231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default" w:ascii="仿宋_GB2312" w:hAnsi="黑体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仿宋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一、薪酬标准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4" w:firstLineChars="200"/>
        <w:textAlignment w:val="baseline"/>
        <w:rPr>
          <w:rFonts w:ascii="仿宋_GB2312" w:hAnsi="黑体" w:eastAsia="仿宋_GB2312" w:cs="仿宋"/>
          <w:color w:val="000000"/>
          <w:sz w:val="32"/>
          <w:szCs w:val="32"/>
        </w:rPr>
      </w:pPr>
      <w:r>
        <w:rPr>
          <w:rFonts w:hint="eastAsia" w:ascii="仿宋_GB2312" w:hAnsi="黑体" w:eastAsia="仿宋_GB2312" w:cs="仿宋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_GB2312" w:hAnsi="黑体" w:eastAsia="仿宋_GB2312" w:cs="仿宋"/>
          <w:color w:val="000000"/>
          <w:sz w:val="32"/>
          <w:szCs w:val="32"/>
        </w:rPr>
        <w:t>南雄市国投公司财务总监</w:t>
      </w:r>
      <w:r>
        <w:rPr>
          <w:rFonts w:hint="eastAsia" w:ascii="仿宋_GB2312" w:hAnsi="黑体" w:cs="仿宋"/>
          <w:color w:val="000000"/>
          <w:sz w:val="32"/>
          <w:szCs w:val="32"/>
          <w:lang w:eastAsia="zh-CN"/>
        </w:rPr>
        <w:t>职务</w:t>
      </w:r>
      <w:r>
        <w:rPr>
          <w:rFonts w:hint="eastAsia" w:ascii="仿宋_GB2312" w:hAnsi="黑体" w:eastAsia="仿宋_GB2312" w:cs="仿宋"/>
          <w:color w:val="000000"/>
          <w:sz w:val="32"/>
          <w:szCs w:val="32"/>
        </w:rPr>
        <w:t>税前年收入（含五险二金）上限为28.5万元，采用基</w:t>
      </w:r>
      <w:r>
        <w:rPr>
          <w:rFonts w:hint="eastAsia" w:ascii="仿宋_GB2312" w:hAnsi="黑体" w:cs="仿宋"/>
          <w:color w:val="000000"/>
          <w:sz w:val="32"/>
          <w:szCs w:val="32"/>
          <w:lang w:eastAsia="zh-CN"/>
        </w:rPr>
        <w:t>本年</w:t>
      </w:r>
      <w:r>
        <w:rPr>
          <w:rFonts w:hint="eastAsia" w:ascii="仿宋_GB2312" w:hAnsi="黑体" w:eastAsia="仿宋_GB2312" w:cs="仿宋"/>
          <w:color w:val="000000"/>
          <w:sz w:val="32"/>
          <w:szCs w:val="32"/>
        </w:rPr>
        <w:t>薪+绩效</w:t>
      </w:r>
      <w:r>
        <w:rPr>
          <w:rFonts w:hint="eastAsia" w:ascii="仿宋_GB2312" w:hAnsi="黑体" w:cs="仿宋"/>
          <w:color w:val="000000"/>
          <w:sz w:val="32"/>
          <w:szCs w:val="32"/>
          <w:lang w:eastAsia="zh-CN"/>
        </w:rPr>
        <w:t>年薪</w:t>
      </w:r>
      <w:r>
        <w:rPr>
          <w:rFonts w:hint="eastAsia" w:ascii="仿宋_GB2312" w:hAnsi="黑体" w:eastAsia="仿宋_GB2312" w:cs="仿宋"/>
          <w:color w:val="000000"/>
          <w:sz w:val="32"/>
          <w:szCs w:val="32"/>
        </w:rPr>
        <w:t>+任期激励</w:t>
      </w:r>
      <w:r>
        <w:rPr>
          <w:rFonts w:hint="eastAsia" w:ascii="仿宋_GB2312" w:hAnsi="黑体" w:cs="仿宋"/>
          <w:color w:val="000000"/>
          <w:sz w:val="32"/>
          <w:szCs w:val="32"/>
          <w:lang w:eastAsia="zh-CN"/>
        </w:rPr>
        <w:t>收入</w:t>
      </w:r>
      <w:r>
        <w:rPr>
          <w:rFonts w:hint="eastAsia" w:ascii="仿宋_GB2312" w:hAnsi="黑体" w:eastAsia="仿宋_GB2312" w:cs="仿宋"/>
          <w:color w:val="000000"/>
          <w:sz w:val="32"/>
          <w:szCs w:val="32"/>
        </w:rPr>
        <w:t>的方式发放，其中基本年薪14.25万元、绩效年薪上限为8.55万元、任期激励收入上限为5.7万元</w:t>
      </w:r>
      <w:r>
        <w:rPr>
          <w:rFonts w:hint="eastAsia" w:ascii="仿宋_GB2312" w:hAnsi="黑体" w:eastAsia="仿宋_GB2312" w:cs="仿宋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黑体" w:eastAsia="仿宋_GB2312" w:cs="仿宋"/>
          <w:color w:val="000000"/>
          <w:sz w:val="32"/>
          <w:szCs w:val="32"/>
        </w:rPr>
        <w:t>发放的具体事宜在合同中体现。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4" w:firstLineChars="200"/>
        <w:rPr>
          <w:rFonts w:ascii="仿宋_GB2312" w:hAnsi="黑体" w:eastAsia="仿宋_GB2312" w:cs="仿宋"/>
          <w:color w:val="000000"/>
          <w:sz w:val="32"/>
          <w:szCs w:val="32"/>
        </w:rPr>
      </w:pPr>
      <w:r>
        <w:rPr>
          <w:rFonts w:hint="eastAsia" w:ascii="仿宋_GB2312" w:hAnsi="黑体" w:eastAsia="仿宋_GB2312" w:cs="仿宋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_GB2312" w:hAnsi="黑体" w:eastAsia="仿宋_GB2312" w:cs="仿宋"/>
          <w:color w:val="000000"/>
          <w:sz w:val="32"/>
          <w:szCs w:val="32"/>
        </w:rPr>
        <w:t>南雄市兴雄公司和南雄市农业发展公司总经理职务税前年收入（含五险二金）上限为45万元，采用基</w:t>
      </w:r>
      <w:r>
        <w:rPr>
          <w:rFonts w:hint="eastAsia" w:ascii="仿宋_GB2312" w:hAnsi="黑体" w:cs="仿宋"/>
          <w:color w:val="000000"/>
          <w:sz w:val="32"/>
          <w:szCs w:val="32"/>
          <w:lang w:eastAsia="zh-CN"/>
        </w:rPr>
        <w:t>本年</w:t>
      </w:r>
      <w:r>
        <w:rPr>
          <w:rFonts w:hint="eastAsia" w:ascii="仿宋_GB2312" w:hAnsi="黑体" w:eastAsia="仿宋_GB2312" w:cs="仿宋"/>
          <w:color w:val="000000"/>
          <w:sz w:val="32"/>
          <w:szCs w:val="32"/>
        </w:rPr>
        <w:t>薪+绩效</w:t>
      </w:r>
      <w:r>
        <w:rPr>
          <w:rFonts w:hint="eastAsia" w:ascii="仿宋_GB2312" w:hAnsi="黑体" w:cs="仿宋"/>
          <w:color w:val="000000"/>
          <w:sz w:val="32"/>
          <w:szCs w:val="32"/>
          <w:lang w:eastAsia="zh-CN"/>
        </w:rPr>
        <w:t>年薪</w:t>
      </w:r>
      <w:r>
        <w:rPr>
          <w:rFonts w:hint="eastAsia" w:ascii="仿宋_GB2312" w:hAnsi="黑体" w:eastAsia="仿宋_GB2312" w:cs="仿宋"/>
          <w:color w:val="000000"/>
          <w:sz w:val="32"/>
          <w:szCs w:val="32"/>
        </w:rPr>
        <w:t>+任期激励</w:t>
      </w:r>
      <w:r>
        <w:rPr>
          <w:rFonts w:hint="eastAsia" w:ascii="仿宋_GB2312" w:hAnsi="黑体" w:cs="仿宋"/>
          <w:color w:val="000000"/>
          <w:sz w:val="32"/>
          <w:szCs w:val="32"/>
          <w:lang w:eastAsia="zh-CN"/>
        </w:rPr>
        <w:t>收入</w:t>
      </w:r>
      <w:r>
        <w:rPr>
          <w:rFonts w:hint="eastAsia" w:ascii="仿宋_GB2312" w:hAnsi="黑体" w:eastAsia="仿宋_GB2312" w:cs="仿宋"/>
          <w:color w:val="000000"/>
          <w:sz w:val="32"/>
          <w:szCs w:val="32"/>
        </w:rPr>
        <w:t>的方式发放，其中基本年薪15万元，绩效年薪上限为18万元，任期激励收入上限为12万元。发放的具体事宜在合同中体现。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仿宋"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_GB2312" w:hAnsi="黑体" w:eastAsia="仿宋_GB2312" w:cs="仿宋"/>
          <w:color w:val="000000"/>
          <w:sz w:val="32"/>
          <w:szCs w:val="32"/>
        </w:rPr>
        <w:t>南雄市南雄迎宾馆总经理职</w:t>
      </w:r>
      <w:r>
        <w:rPr>
          <w:rFonts w:hint="eastAsia" w:ascii="仿宋_GB2312" w:hAnsi="黑体" w:eastAsia="仿宋_GB2312" w:cs="仿宋"/>
          <w:color w:val="000000"/>
          <w:sz w:val="32"/>
          <w:szCs w:val="32"/>
          <w:lang w:eastAsia="zh-CN"/>
        </w:rPr>
        <w:t>务年薪</w:t>
      </w:r>
      <w:r>
        <w:rPr>
          <w:rFonts w:hint="eastAsia" w:ascii="仿宋_GB2312" w:hAnsi="黑体" w:eastAsia="仿宋_GB2312" w:cs="仿宋"/>
          <w:color w:val="000000"/>
          <w:sz w:val="32"/>
          <w:szCs w:val="32"/>
        </w:rPr>
        <w:t>采用基</w:t>
      </w:r>
      <w:r>
        <w:rPr>
          <w:rFonts w:hint="eastAsia" w:ascii="仿宋_GB2312" w:hAnsi="黑体" w:cs="仿宋"/>
          <w:color w:val="000000"/>
          <w:sz w:val="32"/>
          <w:szCs w:val="32"/>
          <w:lang w:eastAsia="zh-CN"/>
        </w:rPr>
        <w:t>本年</w:t>
      </w:r>
      <w:r>
        <w:rPr>
          <w:rFonts w:hint="eastAsia" w:ascii="仿宋_GB2312" w:hAnsi="黑体" w:eastAsia="仿宋_GB2312" w:cs="仿宋"/>
          <w:color w:val="000000"/>
          <w:sz w:val="32"/>
          <w:szCs w:val="32"/>
        </w:rPr>
        <w:t>薪+绩效</w:t>
      </w:r>
      <w:r>
        <w:rPr>
          <w:rFonts w:hint="eastAsia" w:ascii="仿宋_GB2312" w:hAnsi="黑体" w:cs="仿宋"/>
          <w:color w:val="000000"/>
          <w:sz w:val="32"/>
          <w:szCs w:val="32"/>
          <w:lang w:eastAsia="zh-CN"/>
        </w:rPr>
        <w:t>年薪</w:t>
      </w:r>
      <w:r>
        <w:rPr>
          <w:rFonts w:hint="eastAsia" w:ascii="仿宋_GB2312" w:hAnsi="黑体" w:eastAsia="仿宋_GB2312" w:cs="仿宋"/>
          <w:color w:val="000000"/>
          <w:sz w:val="32"/>
          <w:szCs w:val="32"/>
        </w:rPr>
        <w:t>+任期激励</w:t>
      </w:r>
      <w:r>
        <w:rPr>
          <w:rFonts w:hint="eastAsia" w:ascii="仿宋_GB2312" w:hAnsi="黑体" w:cs="仿宋"/>
          <w:color w:val="000000"/>
          <w:sz w:val="32"/>
          <w:szCs w:val="32"/>
          <w:lang w:eastAsia="zh-CN"/>
        </w:rPr>
        <w:t>收入</w:t>
      </w:r>
      <w:r>
        <w:rPr>
          <w:rFonts w:hint="eastAsia" w:ascii="仿宋_GB2312" w:hAnsi="黑体" w:eastAsia="仿宋_GB2312" w:cs="仿宋"/>
          <w:color w:val="000000"/>
          <w:sz w:val="32"/>
          <w:szCs w:val="32"/>
        </w:rPr>
        <w:t>的方式发放</w:t>
      </w:r>
      <w:r>
        <w:rPr>
          <w:rFonts w:hint="eastAsia" w:ascii="仿宋_GB2312" w:hAnsi="黑体" w:eastAsia="仿宋_GB2312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黑体" w:cs="仿宋"/>
          <w:color w:val="000000"/>
          <w:sz w:val="32"/>
          <w:szCs w:val="32"/>
          <w:lang w:eastAsia="zh-CN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三年聘期内薪酬：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4" w:firstLineChars="200"/>
        <w:rPr>
          <w:rFonts w:hint="eastAsia" w:ascii="仿宋_GB2312" w:hAnsi="黑体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仿宋"/>
          <w:color w:val="000000"/>
          <w:sz w:val="32"/>
          <w:szCs w:val="32"/>
          <w:lang w:val="en-US" w:eastAsia="zh-CN"/>
        </w:rPr>
        <w:t>1）</w:t>
      </w:r>
      <w:r>
        <w:rPr>
          <w:rFonts w:hint="eastAsia" w:ascii="仿宋_GB2312" w:hAnsi="黑体" w:eastAsia="仿宋_GB2312" w:cs="仿宋"/>
          <w:color w:val="000000"/>
          <w:sz w:val="32"/>
          <w:szCs w:val="32"/>
          <w:lang w:eastAsia="zh-CN"/>
        </w:rPr>
        <w:t>第一年（</w:t>
      </w:r>
      <w:r>
        <w:rPr>
          <w:rFonts w:hint="eastAsia" w:ascii="仿宋_GB2312" w:hAnsi="黑体" w:eastAsia="仿宋_GB2312" w:cs="仿宋"/>
          <w:color w:val="000000"/>
          <w:sz w:val="32"/>
          <w:szCs w:val="32"/>
        </w:rPr>
        <w:t>2023年</w:t>
      </w:r>
      <w:r>
        <w:rPr>
          <w:rFonts w:hint="eastAsia" w:ascii="仿宋_GB2312" w:hAnsi="黑体" w:eastAsia="仿宋_GB2312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黑体" w:cs="仿宋"/>
          <w:color w:val="000000"/>
          <w:sz w:val="32"/>
          <w:szCs w:val="32"/>
          <w:lang w:eastAsia="zh-CN"/>
        </w:rPr>
        <w:t>南雄迎宾馆年度</w:t>
      </w:r>
      <w:r>
        <w:rPr>
          <w:rFonts w:hint="eastAsia" w:ascii="仿宋_GB2312" w:hAnsi="黑体" w:eastAsia="仿宋_GB2312" w:cs="仿宋"/>
          <w:color w:val="000000"/>
          <w:sz w:val="32"/>
          <w:szCs w:val="32"/>
          <w:lang w:eastAsia="zh-CN"/>
        </w:rPr>
        <w:t>净</w:t>
      </w:r>
      <w:r>
        <w:rPr>
          <w:rFonts w:hint="eastAsia" w:ascii="仿宋_GB2312" w:hAnsi="黑体" w:eastAsia="仿宋_GB2312" w:cs="仿宋"/>
          <w:color w:val="000000"/>
          <w:sz w:val="32"/>
          <w:szCs w:val="32"/>
        </w:rPr>
        <w:t>利润</w:t>
      </w:r>
      <w:r>
        <w:rPr>
          <w:rFonts w:hint="eastAsia" w:ascii="仿宋_GB2312" w:hAnsi="黑体" w:eastAsia="仿宋_GB2312" w:cs="仿宋"/>
          <w:color w:val="000000"/>
          <w:sz w:val="32"/>
          <w:szCs w:val="32"/>
          <w:lang w:eastAsia="zh-CN"/>
        </w:rPr>
        <w:t>达到</w:t>
      </w:r>
      <w:r>
        <w:rPr>
          <w:rFonts w:hint="eastAsia" w:ascii="仿宋_GB2312" w:hAnsi="黑体" w:eastAsia="仿宋_GB2312" w:cs="仿宋"/>
          <w:color w:val="000000"/>
          <w:sz w:val="32"/>
          <w:szCs w:val="32"/>
        </w:rPr>
        <w:t>400万元</w:t>
      </w:r>
      <w:r>
        <w:rPr>
          <w:rFonts w:hint="eastAsia" w:ascii="仿宋_GB2312" w:hAnsi="黑体" w:eastAsia="仿宋_GB2312" w:cs="仿宋"/>
          <w:color w:val="000000"/>
          <w:sz w:val="32"/>
          <w:szCs w:val="32"/>
          <w:lang w:eastAsia="zh-CN"/>
        </w:rPr>
        <w:t>，第二年（</w:t>
      </w:r>
      <w:r>
        <w:rPr>
          <w:rFonts w:hint="eastAsia" w:ascii="仿宋_GB2312" w:hAnsi="黑体" w:eastAsia="仿宋_GB2312" w:cs="仿宋"/>
          <w:color w:val="000000"/>
          <w:sz w:val="32"/>
          <w:szCs w:val="32"/>
          <w:lang w:val="en-US" w:eastAsia="zh-CN"/>
        </w:rPr>
        <w:t>2024年）、第三年（2025年）</w:t>
      </w:r>
      <w:r>
        <w:rPr>
          <w:rFonts w:hint="eastAsia" w:ascii="仿宋_GB2312" w:hAnsi="黑体" w:cs="仿宋"/>
          <w:color w:val="000000"/>
          <w:sz w:val="32"/>
          <w:szCs w:val="32"/>
          <w:lang w:val="en-US" w:eastAsia="zh-CN"/>
        </w:rPr>
        <w:t>年度</w:t>
      </w:r>
      <w:r>
        <w:rPr>
          <w:rFonts w:hint="eastAsia" w:ascii="仿宋_GB2312" w:hAnsi="黑体" w:eastAsia="仿宋_GB2312" w:cs="仿宋"/>
          <w:color w:val="000000"/>
          <w:sz w:val="32"/>
          <w:szCs w:val="32"/>
          <w:lang w:val="en-US" w:eastAsia="zh-CN"/>
        </w:rPr>
        <w:t>净利润逐年递增5%，即2024年</w:t>
      </w:r>
      <w:r>
        <w:rPr>
          <w:rFonts w:hint="eastAsia" w:ascii="仿宋_GB2312" w:hAnsi="黑体" w:cs="仿宋"/>
          <w:color w:val="000000"/>
          <w:sz w:val="32"/>
          <w:szCs w:val="32"/>
          <w:lang w:val="en-US" w:eastAsia="zh-CN"/>
        </w:rPr>
        <w:t>年度</w:t>
      </w:r>
      <w:r>
        <w:rPr>
          <w:rFonts w:hint="eastAsia" w:ascii="仿宋_GB2312" w:hAnsi="黑体" w:eastAsia="仿宋_GB2312" w:cs="仿宋"/>
          <w:color w:val="000000"/>
          <w:sz w:val="32"/>
          <w:szCs w:val="32"/>
          <w:lang w:val="en-US" w:eastAsia="zh-CN"/>
        </w:rPr>
        <w:t>净利润达到420万元，2025年</w:t>
      </w:r>
      <w:r>
        <w:rPr>
          <w:rFonts w:hint="eastAsia" w:ascii="仿宋_GB2312" w:hAnsi="黑体" w:cs="仿宋"/>
          <w:color w:val="000000"/>
          <w:sz w:val="32"/>
          <w:szCs w:val="32"/>
          <w:lang w:val="en-US" w:eastAsia="zh-CN"/>
        </w:rPr>
        <w:t>年度</w:t>
      </w:r>
      <w:r>
        <w:rPr>
          <w:rFonts w:hint="eastAsia" w:ascii="仿宋_GB2312" w:hAnsi="黑体" w:eastAsia="仿宋_GB2312" w:cs="仿宋"/>
          <w:color w:val="000000"/>
          <w:sz w:val="32"/>
          <w:szCs w:val="32"/>
          <w:lang w:val="en-US" w:eastAsia="zh-CN"/>
        </w:rPr>
        <w:t>净利润达到441万元，总经理</w:t>
      </w:r>
      <w:r>
        <w:rPr>
          <w:rFonts w:hint="eastAsia" w:ascii="仿宋_GB2312" w:hAnsi="黑体" w:eastAsia="仿宋_GB2312" w:cs="仿宋"/>
          <w:color w:val="000000"/>
          <w:sz w:val="32"/>
          <w:szCs w:val="32"/>
        </w:rPr>
        <w:t>税前年收入（含五险二金）可达45万元</w:t>
      </w:r>
      <w:r>
        <w:rPr>
          <w:rFonts w:hint="eastAsia" w:ascii="仿宋_GB2312" w:hAnsi="黑体" w:eastAsia="仿宋_GB2312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仿宋"/>
          <w:color w:val="000000"/>
          <w:sz w:val="32"/>
          <w:szCs w:val="32"/>
        </w:rPr>
        <w:t>其中基本年薪15万元，绩效年薪上限为18万元，任期激励</w:t>
      </w:r>
      <w:r>
        <w:rPr>
          <w:rFonts w:hint="eastAsia" w:ascii="仿宋_GB2312" w:hAnsi="黑体" w:eastAsia="仿宋_GB2312" w:cs="仿宋"/>
          <w:color w:val="000000"/>
          <w:sz w:val="32"/>
          <w:szCs w:val="32"/>
          <w:lang w:eastAsia="zh-CN"/>
        </w:rPr>
        <w:t>年</w:t>
      </w:r>
      <w:r>
        <w:rPr>
          <w:rFonts w:hint="eastAsia" w:ascii="仿宋_GB2312" w:hAnsi="黑体" w:eastAsia="仿宋_GB2312" w:cs="仿宋"/>
          <w:color w:val="000000"/>
          <w:sz w:val="32"/>
          <w:szCs w:val="32"/>
        </w:rPr>
        <w:t>收入上限为12万元</w:t>
      </w:r>
      <w:r>
        <w:rPr>
          <w:rFonts w:hint="eastAsia" w:ascii="仿宋_GB2312" w:hAnsi="黑体" w:eastAsia="仿宋_GB2312" w:cs="仿宋"/>
          <w:color w:val="000000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4" w:firstLineChars="200"/>
        <w:rPr>
          <w:rFonts w:ascii="仿宋_GB2312" w:hAnsi="黑体" w:eastAsia="仿宋_GB2312" w:cs="仿宋"/>
          <w:color w:val="000000"/>
          <w:sz w:val="32"/>
          <w:szCs w:val="32"/>
        </w:rPr>
      </w:pPr>
      <w:r>
        <w:rPr>
          <w:rFonts w:hint="eastAsia" w:ascii="仿宋_GB2312" w:hAnsi="黑体" w:eastAsia="仿宋_GB2312" w:cs="仿宋"/>
          <w:color w:val="000000"/>
          <w:sz w:val="32"/>
          <w:szCs w:val="32"/>
          <w:lang w:val="en-US" w:eastAsia="zh-CN"/>
        </w:rPr>
        <w:t>（2）若</w:t>
      </w:r>
      <w:r>
        <w:rPr>
          <w:rFonts w:hint="eastAsia" w:ascii="仿宋_GB2312" w:hAnsi="黑体" w:cs="仿宋"/>
          <w:color w:val="000000"/>
          <w:sz w:val="32"/>
          <w:szCs w:val="32"/>
          <w:lang w:val="en-US" w:eastAsia="zh-CN"/>
        </w:rPr>
        <w:t>南雄迎宾馆</w:t>
      </w:r>
      <w:r>
        <w:rPr>
          <w:rFonts w:hint="eastAsia" w:ascii="仿宋_GB2312" w:hAnsi="黑体" w:eastAsia="仿宋_GB2312" w:cs="仿宋"/>
          <w:color w:val="000000"/>
          <w:sz w:val="32"/>
          <w:szCs w:val="32"/>
          <w:lang w:val="en-US" w:eastAsia="zh-CN"/>
        </w:rPr>
        <w:t>2023年</w:t>
      </w:r>
      <w:r>
        <w:rPr>
          <w:rFonts w:hint="eastAsia" w:ascii="仿宋_GB2312" w:hAnsi="黑体" w:cs="仿宋"/>
          <w:color w:val="000000"/>
          <w:sz w:val="32"/>
          <w:szCs w:val="32"/>
          <w:lang w:val="en-US" w:eastAsia="zh-CN"/>
        </w:rPr>
        <w:t>年度</w:t>
      </w:r>
      <w:r>
        <w:rPr>
          <w:rFonts w:hint="eastAsia" w:ascii="仿宋_GB2312" w:hAnsi="黑体" w:eastAsia="仿宋_GB2312" w:cs="仿宋"/>
          <w:color w:val="000000"/>
          <w:sz w:val="32"/>
          <w:szCs w:val="32"/>
          <w:lang w:val="en-US" w:eastAsia="zh-CN"/>
        </w:rPr>
        <w:t>净利润超过400万元，2024年</w:t>
      </w:r>
      <w:r>
        <w:rPr>
          <w:rFonts w:hint="eastAsia" w:ascii="仿宋_GB2312" w:hAnsi="黑体" w:cs="仿宋"/>
          <w:color w:val="000000"/>
          <w:sz w:val="32"/>
          <w:szCs w:val="32"/>
          <w:lang w:val="en-US" w:eastAsia="zh-CN"/>
        </w:rPr>
        <w:t>年度</w:t>
      </w:r>
      <w:r>
        <w:rPr>
          <w:rFonts w:hint="eastAsia" w:ascii="仿宋_GB2312" w:hAnsi="黑体" w:eastAsia="仿宋_GB2312" w:cs="仿宋"/>
          <w:color w:val="000000"/>
          <w:sz w:val="32"/>
          <w:szCs w:val="32"/>
          <w:lang w:val="en-US" w:eastAsia="zh-CN"/>
        </w:rPr>
        <w:t>净利润超过420万元，2025年</w:t>
      </w:r>
      <w:r>
        <w:rPr>
          <w:rFonts w:hint="eastAsia" w:ascii="仿宋_GB2312" w:hAnsi="黑体" w:cs="仿宋"/>
          <w:color w:val="000000"/>
          <w:sz w:val="32"/>
          <w:szCs w:val="32"/>
          <w:lang w:val="en-US" w:eastAsia="zh-CN"/>
        </w:rPr>
        <w:t>年度</w:t>
      </w:r>
      <w:r>
        <w:rPr>
          <w:rFonts w:hint="eastAsia" w:ascii="仿宋_GB2312" w:hAnsi="黑体" w:eastAsia="仿宋_GB2312" w:cs="仿宋"/>
          <w:color w:val="000000"/>
          <w:sz w:val="32"/>
          <w:szCs w:val="32"/>
          <w:lang w:val="en-US" w:eastAsia="zh-CN"/>
        </w:rPr>
        <w:t>净利润超过441万元，每年</w:t>
      </w:r>
      <w:r>
        <w:rPr>
          <w:rFonts w:hint="eastAsia" w:ascii="仿宋_GB2312" w:hAnsi="仿宋_GB2312" w:eastAsia="仿宋_GB2312" w:cs="仿宋_GB2312"/>
          <w:sz w:val="32"/>
          <w:szCs w:val="32"/>
        </w:rPr>
        <w:t>可提取超额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净</w:t>
      </w:r>
      <w:r>
        <w:rPr>
          <w:rFonts w:hint="eastAsia" w:ascii="仿宋_GB2312" w:hAnsi="仿宋_GB2312" w:eastAsia="仿宋_GB2312" w:cs="仿宋_GB2312"/>
          <w:sz w:val="32"/>
          <w:szCs w:val="32"/>
        </w:rPr>
        <w:t>利润的50%作为公司全体干部职工绩效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，其中总经理</w:t>
      </w:r>
      <w:r>
        <w:rPr>
          <w:rFonts w:hint="eastAsia" w:ascii="仿宋_GB2312" w:hAnsi="黑体" w:eastAsia="仿宋_GB2312" w:cs="仿宋"/>
          <w:color w:val="000000"/>
          <w:sz w:val="32"/>
          <w:szCs w:val="32"/>
        </w:rPr>
        <w:t>税前年收入（含五险二金）上限为100万元</w:t>
      </w:r>
      <w:r>
        <w:rPr>
          <w:rFonts w:hint="eastAsia" w:ascii="仿宋_GB2312" w:hAnsi="黑体" w:eastAsia="仿宋_GB2312" w:cs="仿宋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黑体" w:eastAsia="仿宋_GB2312" w:cs="仿宋"/>
          <w:color w:val="000000"/>
          <w:sz w:val="32"/>
          <w:szCs w:val="32"/>
        </w:rPr>
        <w:t>发放的具体事宜在合同中体现。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17" w:firstLineChars="25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薪酬支付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4" w:firstLineChars="200"/>
        <w:rPr>
          <w:rFonts w:hint="eastAsia" w:ascii="仿宋_GB2312" w:hAnsi="黑体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仿宋"/>
          <w:color w:val="000000"/>
          <w:sz w:val="32"/>
          <w:szCs w:val="32"/>
          <w:lang w:val="en-US" w:eastAsia="zh-CN"/>
        </w:rPr>
        <w:t>基本年薪按月支付；绩效年薪根据各公司完成年度考核指标情况，按</w:t>
      </w:r>
      <w:r>
        <w:rPr>
          <w:rFonts w:hint="eastAsia" w:ascii="仿宋_GB2312" w:hAnsi="黑体" w:eastAsia="仿宋_GB2312" w:cs="仿宋"/>
          <w:color w:val="000000"/>
          <w:sz w:val="32"/>
          <w:szCs w:val="32"/>
          <w:lang w:eastAsia="zh-CN"/>
        </w:rPr>
        <w:t>年度工作考核综合得分</w:t>
      </w:r>
      <w:r>
        <w:rPr>
          <w:rFonts w:hint="eastAsia" w:ascii="仿宋_GB2312" w:hAnsi="黑体" w:eastAsia="仿宋_GB2312" w:cs="仿宋"/>
          <w:color w:val="000000"/>
          <w:sz w:val="32"/>
          <w:szCs w:val="32"/>
          <w:lang w:val="en-US" w:eastAsia="zh-CN"/>
        </w:rPr>
        <w:t>一次性兑现发放；任期激励收入在任期满三年后,根据该三年任期内的年度考核平均分一次性支付。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817" w:firstLineChars="25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考核指标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4" w:firstLineChars="200"/>
        <w:rPr>
          <w:rFonts w:hint="eastAsia" w:ascii="仿宋_GB2312" w:hAnsi="黑体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"/>
          <w:color w:val="000000"/>
          <w:sz w:val="32"/>
          <w:szCs w:val="32"/>
          <w:lang w:eastAsia="zh-CN"/>
        </w:rPr>
        <w:t>年度工作考核总分为 100 分。年度工作考核内容包括党建工作和经济指标。其中：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4" w:firstLineChars="200"/>
        <w:rPr>
          <w:rFonts w:hint="eastAsia" w:ascii="仿宋_GB2312" w:hAnsi="黑体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_GB2312" w:hAnsi="黑体" w:eastAsia="仿宋_GB2312" w:cs="仿宋"/>
          <w:color w:val="000000"/>
          <w:sz w:val="32"/>
          <w:szCs w:val="32"/>
          <w:lang w:eastAsia="zh-CN"/>
        </w:rPr>
        <w:t>党建工作 30 分。主要考核各公司党的基层组织建设工作、党风廉政建设和反腐败工作、意识形态工作和政府指令性工作完成情况。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4" w:firstLineChars="200"/>
        <w:rPr>
          <w:rFonts w:hint="eastAsia" w:ascii="仿宋_GB2312" w:hAnsi="黑体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"/>
          <w:color w:val="000000"/>
          <w:sz w:val="32"/>
          <w:szCs w:val="32"/>
          <w:lang w:eastAsia="zh-CN"/>
        </w:rPr>
        <w:t>2、经济指标</w:t>
      </w:r>
      <w:r>
        <w:rPr>
          <w:rFonts w:hint="eastAsia" w:ascii="仿宋_GB2312" w:hAnsi="黑体" w:eastAsia="仿宋_GB2312" w:cs="仿宋"/>
          <w:color w:val="000000"/>
          <w:sz w:val="32"/>
          <w:szCs w:val="32"/>
          <w:lang w:val="en-US" w:eastAsia="zh-CN"/>
        </w:rPr>
        <w:t>70分</w:t>
      </w:r>
      <w:r>
        <w:rPr>
          <w:rFonts w:hint="eastAsia" w:ascii="仿宋_GB2312" w:hAnsi="黑体" w:eastAsia="仿宋_GB2312" w:cs="仿宋"/>
          <w:color w:val="000000"/>
          <w:sz w:val="32"/>
          <w:szCs w:val="32"/>
          <w:lang w:eastAsia="zh-CN"/>
        </w:rPr>
        <w:t>。考核各公司各项经济任务完成情况。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4" w:firstLineChars="200"/>
        <w:rPr>
          <w:rFonts w:hint="eastAsia" w:ascii="仿宋_GB2312" w:hAnsi="黑体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"/>
          <w:color w:val="000000"/>
          <w:sz w:val="32"/>
          <w:szCs w:val="32"/>
          <w:lang w:eastAsia="zh-CN"/>
        </w:rPr>
        <w:t>（1）企业经营情况（25 分）。考核企业经营能力，主要是考核企业负债率的控制、国有资本的做优做强、盈利能力；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4" w:firstLineChars="200"/>
        <w:rPr>
          <w:rFonts w:hint="eastAsia" w:ascii="仿宋_GB2312" w:hAnsi="黑体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"/>
          <w:color w:val="000000"/>
          <w:sz w:val="32"/>
          <w:szCs w:val="32"/>
          <w:lang w:eastAsia="zh-CN"/>
        </w:rPr>
        <w:t>（2）企业投融资及防范化解风险情况（20 分）。考核企业项目选择决策能力、投融资能力。制定防范化解风险措施，严格执行能力；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4" w:firstLineChars="200"/>
        <w:rPr>
          <w:rFonts w:hint="eastAsia" w:ascii="仿宋_GB2312" w:hAnsi="黑体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"/>
          <w:color w:val="000000"/>
          <w:sz w:val="32"/>
          <w:szCs w:val="32"/>
          <w:lang w:eastAsia="zh-CN"/>
        </w:rPr>
        <w:t>（3）企业统筹能力（25 分）。企业按计划完成上缴国有资本预算收益情况。</w:t>
      </w:r>
    </w:p>
    <w:p>
      <w:pPr>
        <w:numPr>
          <w:ilvl w:val="0"/>
          <w:numId w:val="0"/>
        </w:numPr>
        <w:ind w:firstLine="654" w:firstLineChars="200"/>
        <w:rPr>
          <w:rFonts w:hint="eastAsia" w:ascii="仿宋_GB2312" w:hAnsi="黑体" w:eastAsia="仿宋_GB2312" w:cs="仿宋"/>
          <w:color w:val="000000"/>
          <w:sz w:val="32"/>
          <w:szCs w:val="32"/>
          <w:lang w:eastAsia="zh-CN"/>
        </w:rPr>
      </w:pPr>
    </w:p>
    <w:p>
      <w:pPr>
        <w:pStyle w:val="2"/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701" w:bottom="1701" w:left="1701" w:header="851" w:footer="1474" w:gutter="0"/>
      <w:pgNumType w:fmt="decimal" w:start="1"/>
      <w:cols w:space="0" w:num="1"/>
      <w:rtlGutter w:val="0"/>
      <w:docGrid w:type="linesAndChars" w:linePitch="607" w:charSpace="14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-66675</wp:posOffset>
              </wp:positionV>
              <wp:extent cx="1169035" cy="2501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903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320" w:rightChars="100"/>
                            <w:jc w:val="right"/>
                            <w:textAlignment w:val="auto"/>
                            <w:outlineLvl w:val="9"/>
                            <w:rPr>
                              <w:rStyle w:val="6"/>
                              <w:rFonts w:hint="eastAsia" w:ascii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仿宋_GB2312"/>
                              <w:sz w:val="28"/>
                              <w:szCs w:val="28"/>
                            </w:rPr>
                            <w:t>—　</w:t>
                          </w:r>
                          <w:r>
                            <w:rPr>
                              <w:rStyle w:val="6"/>
                              <w:rFonts w:hint="eastAsia" w:ascii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hint="eastAsia" w:ascii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仿宋_GB2312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Style w:val="6"/>
                              <w:rFonts w:hint="eastAsia" w:ascii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仿宋_GB2312"/>
                              <w:sz w:val="28"/>
                              <w:szCs w:val="28"/>
                            </w:rPr>
                            <w:t>　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25pt;height:19.7pt;width:92.05pt;mso-position-horizontal:outside;mso-position-horizontal-relative:margin;z-index:251659264;mso-width-relative:page;mso-height-relative:page;" filled="f" stroked="f" coordsize="21600,21600" o:gfxdata="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Rah+n1wAAAAcBAAAPAAAAAAAAAAEAIAAAACIAAABkcnMvZG93bnJldi54bWxQSwEC&#10;FAAUAAAACACHTuJAwYaUC7wBAAByAwAADgAAAAAAAAABACAAAAAm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320" w:rightChars="100"/>
                      <w:jc w:val="right"/>
                      <w:textAlignment w:val="auto"/>
                      <w:outlineLvl w:val="9"/>
                      <w:rPr>
                        <w:rStyle w:val="6"/>
                        <w:rFonts w:hint="eastAsia" w:ascii="仿宋_GB2312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仿宋_GB2312"/>
                        <w:sz w:val="28"/>
                        <w:szCs w:val="28"/>
                      </w:rPr>
                      <w:t>—　</w:t>
                    </w:r>
                    <w:r>
                      <w:rPr>
                        <w:rStyle w:val="6"/>
                        <w:rFonts w:hint="eastAsia" w:ascii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hint="eastAsia" w:ascii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仿宋_GB2312"/>
                        <w:sz w:val="28"/>
                        <w:szCs w:val="28"/>
                      </w:rPr>
                      <w:t>9</w:t>
                    </w:r>
                    <w:r>
                      <w:rPr>
                        <w:rStyle w:val="6"/>
                        <w:rFonts w:hint="eastAsia" w:ascii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仿宋_GB2312"/>
                        <w:sz w:val="28"/>
                        <w:szCs w:val="28"/>
                      </w:rPr>
                      <w:t>　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DC9B17"/>
    <w:multiLevelType w:val="singleLevel"/>
    <w:tmpl w:val="A5DC9B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MTE1MjRlOGM4ZjBlNzI3YWU3MTRhNWQ0MDMyNGMifQ=="/>
  </w:docVars>
  <w:rsids>
    <w:rsidRoot w:val="73173F02"/>
    <w:rsid w:val="7317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正"/>
    <w:basedOn w:val="1"/>
    <w:qFormat/>
    <w:uiPriority w:val="0"/>
    <w:pPr>
      <w:spacing w:line="560" w:lineRule="exact"/>
      <w:ind w:firstLine="561"/>
    </w:pPr>
    <w:rPr>
      <w:rFonts w:eastAsia="仿宋_GB2312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2022-07-13T08:44:00Z</dcterms:created>
  <dc:creator>Administrator</dc:creator>
  <cp:lastModifiedBy>Administrator</cp:lastModifiedBy>
  <dcterms:modified xsi:type="dcterms:W3CDTF">2022-07-13T08:44:58Z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DE98FE33BA884A6497C23D3CBD7D3DB9</vt:lpwstr>
  </property>
</Properties>
</file>