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520" w:lineRule="exact"/>
        <w:jc w:val="left"/>
        <w:textAlignment w:val="baseline"/>
        <w:rPr>
          <w:rStyle w:val="9"/>
          <w:rFonts w:ascii="仿宋" w:hAnsi="仿宋" w:eastAsia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9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附件3</w:t>
      </w:r>
    </w:p>
    <w:p>
      <w:pPr>
        <w:widowControl/>
        <w:snapToGrid/>
        <w:spacing w:before="0" w:beforeAutospacing="0" w:after="0" w:afterAutospacing="0" w:line="700" w:lineRule="exact"/>
        <w:jc w:val="center"/>
        <w:textAlignment w:val="baseline"/>
        <w:rPr>
          <w:rStyle w:val="9"/>
          <w:rFonts w:ascii="方正小标宋简体" w:hAnsi="方正小标宋简体" w:eastAsia="方正小标宋简体"/>
          <w:b w:val="0"/>
          <w:bCs w:val="0"/>
          <w:i w:val="0"/>
          <w:caps w:val="0"/>
          <w:color w:val="000000"/>
          <w:spacing w:val="0"/>
          <w:w w:val="100"/>
          <w:kern w:val="0"/>
          <w:sz w:val="44"/>
          <w:szCs w:val="32"/>
          <w:lang w:val="en-US" w:eastAsia="zh-CN" w:bidi="ar-SA"/>
        </w:rPr>
      </w:pPr>
      <w:r>
        <w:rPr>
          <w:rStyle w:val="9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第十届贵州人才博览会兴仁市事业单位引进人才疫情</w:t>
      </w:r>
      <w:r>
        <w:rPr>
          <w:rStyle w:val="9"/>
          <w:rFonts w:ascii="方正小标宋简体" w:hAnsi="方正小标宋简体" w:eastAsia="方正小标宋简体"/>
          <w:b w:val="0"/>
          <w:bCs w:val="0"/>
          <w:i w:val="0"/>
          <w:caps w:val="0"/>
          <w:color w:val="231F20"/>
          <w:spacing w:val="0"/>
          <w:w w:val="100"/>
          <w:kern w:val="0"/>
          <w:sz w:val="44"/>
          <w:szCs w:val="44"/>
          <w:lang w:val="en-US" w:eastAsia="zh-CN" w:bidi="ar-SA"/>
        </w:rPr>
        <w:t>防控</w:t>
      </w:r>
      <w:r>
        <w:rPr>
          <w:rStyle w:val="9"/>
          <w:rFonts w:ascii="方正小标宋简体" w:hAnsi="方正小标宋简体" w:eastAsia="方正小标宋简体"/>
          <w:b w:val="0"/>
          <w:bCs w:val="0"/>
          <w:i w:val="0"/>
          <w:caps w:val="0"/>
          <w:color w:val="000000"/>
          <w:spacing w:val="0"/>
          <w:w w:val="100"/>
          <w:kern w:val="0"/>
          <w:sz w:val="44"/>
          <w:szCs w:val="32"/>
          <w:lang w:val="en-US" w:eastAsia="zh-CN" w:bidi="ar-SA"/>
        </w:rPr>
        <w:t>方案</w:t>
      </w:r>
    </w:p>
    <w:p>
      <w:pPr>
        <w:pStyle w:val="13"/>
        <w:widowControl/>
        <w:snapToGrid/>
        <w:spacing w:before="0" w:beforeAutospacing="0" w:after="0" w:afterAutospacing="0" w:line="520" w:lineRule="exact"/>
        <w:ind w:firstLine="420" w:firstLineChars="200"/>
        <w:jc w:val="left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sz w:val="21"/>
        </w:rPr>
      </w:pPr>
    </w:p>
    <w:p>
      <w:pPr>
        <w:widowControl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有效防控新型冠状病毒的传播，确保疫情防控期间人才引进考试等工作顺利进行，根据国家、省、州、市应对新冠肺炎疫情防控相关规定，按照《第十届贵州人才博览会线下活动疫情防控指南》精神要求，结合当前疫情形势和兴仁市实际，特制定兴仁市事业单位引进人才疫情防控方案（以下简称《方案》）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一、组织保障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本次人才引进线下对接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疫情防控有关工作，在第十届贵州人才博览会兴仁市事业单位引进人才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疫情防控及医疗工作领导小组统一领导下进行，具体由市卫生健康局、市疾病控制预防中心负责本次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人才引进考试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疫情防控工作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eastAsia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黑体" w:hAnsi="黑体" w:eastAsia="黑体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二、物资筹备</w:t>
      </w:r>
      <w:r>
        <w:rPr>
          <w:rStyle w:val="9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及环境消毒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准备体温检测仪、口罩、免洗手</w:t>
      </w:r>
      <w:r>
        <w:rPr>
          <w:rStyle w:val="9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消毒液及其它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消毒物品等防疫物资。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设立健康监测点，对报考人员进行测体温、扫码登记。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（三）设立候考室、考场，按照考生人数设立，每个候考室考生座位前后距离、左右间隔在1米以上。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做好候考室、考场、公共区域公用设备设施高频接触物体表面消毒。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保持活动区域环境清洁，及时清理垃圾。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（六）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在醒目位置张贴健康提示，利用各种显示屏宣传新冠肺炎及其他传染病防控知识。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楷体" w:hAnsi="楷体" w:eastAsia="楷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七）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设立临时隔离区域。当出现疑似症状人员时，立即采取紧急措施，实施隔离，并及时向</w:t>
      </w:r>
      <w:r>
        <w:rPr>
          <w:rStyle w:val="9"/>
          <w:rFonts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市应对新型冠状病毒感染肺炎疫情防控工作领导小组、市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卫生健康局、市疾病预防控制中心报告处置。</w:t>
      </w:r>
    </w:p>
    <w:p>
      <w:pPr>
        <w:widowControl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黑体" w:hAnsi="黑体" w:eastAsia="黑体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黑体" w:hAnsi="黑体" w:eastAsia="黑体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三、防控措施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left"/>
        <w:textAlignment w:val="baseline"/>
        <w:rPr>
          <w:rStyle w:val="9"/>
          <w:rFonts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（一）参加现场资格复审和领取考试准考证阶段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1.组织参加现场资格复审和发放准考证的工作人员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，全程戴口罩，做好个人防护。</w:t>
      </w:r>
    </w:p>
    <w:p>
      <w:pPr>
        <w:widowControl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参与相关工作的人员要求近期内未离开过黔西南州，身体状况无异常，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体温测量正常，</w:t>
      </w:r>
      <w:r>
        <w:rPr>
          <w:rStyle w:val="9"/>
          <w:rFonts w:ascii="Times New Roman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48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小时内核酸检测阴性者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方能参与相关工作。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3.参加现场资格复审和领取考试准考证的考生，必须全程配戴口罩，通过贵州健康码扫码、测温，贵州健康码和通信行程码显示为绿色、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国家政务服务平台密接自查码安全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，体温正常后，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持48小时内核酸检测阴性证明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方可进入办公区域，到达指定区域参加现场资格复审和领取考试准考证。</w:t>
      </w:r>
    </w:p>
    <w:p>
      <w:pPr>
        <w:widowControl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求职人才在线下对接前14天内出现发热（≥37.3°C）、干咳、乏力、鼻塞、流涕、咽痛、腹泻等症状，或有新冠肺炎阳性病例报告地省份或区域的旅居史需落实“五天三检”政策，持此3次新冠核酸检测阴性证明及线下对接前48小时核酸检测阴性证明方可参加现场资格复审和领取考试准考证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left"/>
        <w:textAlignment w:val="baseline"/>
        <w:rPr>
          <w:rStyle w:val="9"/>
          <w:rFonts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（二）考试阶段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1.考生领取面试准考证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后，不得前往新冠肺炎防控中高风险地区，减少走亲访友和聚餐，减少到人员密集的公共场所活动。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2.“贵州健康码”和“通信行程码”为绿码、“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国家政务服务平台密接自查码安全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”且体温正常（低于37.3℃）的考生可以参加本次考试。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体温≥37.3℃的考生，须立即安排进入临时隔离检查点，间隔15分钟后，由现场医务人员使用水银体温计进行体温复测，经复测体温正常（低于37.3℃）的，可以参加本次考试。经复测体温仍≥37.3℃的，不得参加本次考试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4.未按要求佩戴一次性使用医用口罩的考生不得参加本次考试。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5.经入场检测合格的考生，由检测工作人员在面试准考证上加盖检测合格章，并持身份证、准考证及检测合格章进入候考室。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left"/>
        <w:textAlignment w:val="baseline"/>
        <w:rPr>
          <w:rStyle w:val="9"/>
          <w:rFonts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（三）体检阶段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1.考生收到体检通知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后，不得前往新冠肺炎防控中高风险地区，减少走亲访友和聚餐，减少到人员密集的公共场所活动。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2.考生参加体检前，如实报告前14天内是否出现发热（≥37.3°C）、干咳、乏力、鼻塞、流涕、咽痛、腹泻等症状，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有新冠肺炎阳性病例报告地省份或区域的旅居史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，须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落实“五天三检”防控政策的3次核酸检测及48小时核酸检测阴性证明方可参加体检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四、有关要求</w:t>
      </w:r>
    </w:p>
    <w:p>
      <w:pPr>
        <w:pStyle w:val="13"/>
        <w:widowControl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根据贵州省最新疫情防控要求，对本次考试考生的防疫要求如下：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9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（一）求职人才收到用人单位邀约后，尽量减少外出活动，勿前往新冠肺炎中高风险地区，减少走亲访友和聚餐，尽量在家休息，减少到人员密集的公共场所活动。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9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（二）求职人才在线下对接前14天内出现发热（≥37.3°C）、干咳、乏力、鼻塞、流涕、咽痛、腹泻等症状，或有新冠肺炎阳性病例报告地省份或区域的旅居史，建议暂缓线下对接相关事宜，另行安排对接时间。如确需参加的，需落实“五天三检”政策，持此3次新冠核酸检测阴性证明。</w:t>
      </w:r>
    </w:p>
    <w:p>
      <w:pPr>
        <w:widowControl/>
        <w:spacing w:line="560" w:lineRule="exact"/>
        <w:ind w:firstLine="640" w:firstLineChars="200"/>
        <w:jc w:val="left"/>
        <w:textAlignment w:val="center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（三）考生参加现场资格复审和领取准考证、考试、体检时请如实填写《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bidi="ar"/>
        </w:rPr>
        <w:t>第十届贵州人才博览会兴仁市事业单位引进人才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  <w:t>个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bidi="ar"/>
        </w:rPr>
        <w:t>人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  <w:t>健康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bidi="ar"/>
        </w:rPr>
        <w:t>情况申报表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》并提交。</w:t>
      </w:r>
    </w:p>
    <w:p>
      <w:pPr>
        <w:widowControl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（四）处于康复或隔离期的病例、无症状感染者、疑似、确诊病例以及无症状感染者的密切接触者不得参加本次考试。</w:t>
      </w:r>
    </w:p>
    <w:p>
      <w:pPr>
        <w:widowControl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（五）按防疫要求处于集中隔离、居家健康监测期间的人员不得参加本次考试。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（六）考生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须如实告知以上个人情况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，如有隐瞒一律取消参考资格。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（七）乘坐公共交通工具前往考场（领取准考证地点、面试地点、体检单位）路程中，尽量减少接触公共场所的公共物品和部位；乘坐公共交通工具时请做好个人防护，全程佩戴口罩。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（八）疫情防控措施将根据疫情实际情况进行适时调整，请考生密切关注兴仁市人民政府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（http://www.gzxr.gov.cn）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网站。</w:t>
      </w:r>
    </w:p>
    <w:p>
      <w:pPr>
        <w:pStyle w:val="13"/>
        <w:widowControl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3"/>
        <w:widowControl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 xml:space="preserve">                  兴仁市人才引进工作领导小组办公室</w:t>
      </w:r>
    </w:p>
    <w:p>
      <w:pPr>
        <w:pStyle w:val="13"/>
        <w:widowControl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　　　　　　　　　          202</w:t>
      </w:r>
      <w:r>
        <w:rPr>
          <w:rStyle w:val="9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Style w:val="9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Style w:val="9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Style w:val="9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Style w:val="9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tbl>
      <w:tblPr>
        <w:tblStyle w:val="7"/>
        <w:tblW w:w="936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2330"/>
        <w:gridCol w:w="1368"/>
        <w:gridCol w:w="2087"/>
        <w:gridCol w:w="769"/>
        <w:gridCol w:w="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36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32"/>
                <w:szCs w:val="32"/>
                <w:lang w:bidi="ar"/>
              </w:rPr>
              <w:t>第十届贵州人才博览会兴仁市事业单位引进人才个人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32"/>
                <w:szCs w:val="32"/>
                <w:lang w:eastAsia="zh-CN" w:bidi="ar"/>
              </w:rPr>
              <w:t>健康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32"/>
                <w:szCs w:val="32"/>
                <w:lang w:bidi="ar"/>
              </w:rPr>
              <w:t>情况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32"/>
                <w:szCs w:val="32"/>
                <w:lang w:bidi="ar"/>
              </w:rPr>
              <w:t>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年龄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工作单位或学校</w:t>
            </w:r>
          </w:p>
        </w:tc>
        <w:tc>
          <w:tcPr>
            <w:tcW w:w="7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近14天旅居史、健康史及接触史情况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是否有国外旅居史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</w:t>
            </w:r>
            <w:r>
              <w:rPr>
                <w:rStyle w:val="14"/>
                <w:rFonts w:eastAsia="仿宋_GB2312"/>
                <w:spacing w:val="0"/>
                <w:lang w:bidi="ar"/>
              </w:rPr>
              <w:t>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否</w:t>
            </w:r>
            <w:r>
              <w:rPr>
                <w:rStyle w:val="14"/>
                <w:rFonts w:eastAsia="仿宋_GB2312"/>
                <w:spacing w:val="0"/>
                <w:lang w:bidi="ar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是否有港、台旅居史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</w:t>
            </w:r>
            <w:r>
              <w:rPr>
                <w:rStyle w:val="14"/>
                <w:rFonts w:eastAsia="仿宋_GB2312"/>
                <w:spacing w:val="0"/>
                <w:lang w:bidi="ar"/>
              </w:rPr>
              <w:t>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否</w:t>
            </w:r>
            <w:r>
              <w:rPr>
                <w:rStyle w:val="14"/>
                <w:rFonts w:eastAsia="仿宋_GB2312"/>
                <w:spacing w:val="0"/>
                <w:lang w:bidi="ar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是否有高、中风险地区旅居史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</w:t>
            </w:r>
            <w:r>
              <w:rPr>
                <w:rStyle w:val="14"/>
                <w:rFonts w:eastAsia="仿宋_GB2312"/>
                <w:spacing w:val="0"/>
                <w:lang w:bidi="ar"/>
              </w:rPr>
              <w:t>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否</w:t>
            </w:r>
            <w:r>
              <w:rPr>
                <w:rStyle w:val="14"/>
                <w:rFonts w:eastAsia="仿宋_GB2312"/>
                <w:spacing w:val="0"/>
                <w:lang w:bidi="ar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是否曾被诊断为新冠肺炎确诊病例或无症状感染者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</w:t>
            </w:r>
            <w:r>
              <w:rPr>
                <w:rStyle w:val="14"/>
                <w:rFonts w:eastAsia="仿宋_GB2312"/>
                <w:spacing w:val="0"/>
                <w:lang w:bidi="ar"/>
              </w:rPr>
              <w:t>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否</w:t>
            </w:r>
            <w:r>
              <w:rPr>
                <w:rStyle w:val="14"/>
                <w:rFonts w:eastAsia="仿宋_GB2312"/>
                <w:spacing w:val="0"/>
                <w:lang w:bidi="ar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是否与新冠肺炎确诊病例或无症状感染者有密切接触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</w:t>
            </w:r>
            <w:r>
              <w:rPr>
                <w:rStyle w:val="14"/>
                <w:rFonts w:eastAsia="仿宋_GB2312"/>
                <w:spacing w:val="0"/>
                <w:lang w:bidi="ar"/>
              </w:rPr>
              <w:t>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否</w:t>
            </w:r>
            <w:r>
              <w:rPr>
                <w:rStyle w:val="14"/>
                <w:rFonts w:eastAsia="仿宋_GB2312"/>
                <w:spacing w:val="0"/>
                <w:lang w:bidi="ar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是否有与来自高、中风险疫情地区人员有密切接触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</w:t>
            </w:r>
            <w:r>
              <w:rPr>
                <w:rStyle w:val="14"/>
                <w:rFonts w:eastAsia="仿宋_GB2312"/>
                <w:spacing w:val="0"/>
                <w:lang w:bidi="ar"/>
              </w:rPr>
              <w:t>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否</w:t>
            </w:r>
            <w:r>
              <w:rPr>
                <w:rStyle w:val="14"/>
                <w:rFonts w:eastAsia="仿宋_GB2312"/>
                <w:spacing w:val="0"/>
                <w:lang w:bidi="ar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密切接触的家属及同事是否有发热等症状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</w:t>
            </w:r>
            <w:r>
              <w:rPr>
                <w:rStyle w:val="14"/>
                <w:rFonts w:eastAsia="仿宋_GB2312"/>
                <w:spacing w:val="0"/>
                <w:lang w:bidi="ar"/>
              </w:rPr>
              <w:t>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否</w:t>
            </w:r>
            <w:r>
              <w:rPr>
                <w:rStyle w:val="14"/>
                <w:rFonts w:eastAsia="仿宋_GB2312"/>
                <w:spacing w:val="0"/>
                <w:lang w:bidi="ar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密切接触的家属及同事是否有中高风险地区、港台及国外境外旅居史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</w:t>
            </w:r>
            <w:r>
              <w:rPr>
                <w:rStyle w:val="14"/>
                <w:rFonts w:eastAsia="仿宋_GB2312"/>
                <w:spacing w:val="0"/>
                <w:lang w:bidi="ar"/>
              </w:rPr>
              <w:t>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否</w:t>
            </w:r>
            <w:r>
              <w:rPr>
                <w:rStyle w:val="14"/>
                <w:rFonts w:eastAsia="仿宋_GB2312"/>
                <w:spacing w:val="0"/>
                <w:lang w:bidi="ar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本人202</w:t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年  月  日以来健康状况：发热¨  乏力¨  咽痛¨  咳嗽¨  腹泻¨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364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其它需要说明的情况：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3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 xml:space="preserve">本人对上述提供的健康相关信息的真实性负责。如因不实信息引起疫情传播和扩散，本人愿承担由此带来的全部法律责任。              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 xml:space="preserve">                             承诺人：                        年   月   日                                                                 </w:t>
            </w:r>
          </w:p>
        </w:tc>
      </w:tr>
    </w:tbl>
    <w:p/>
    <w:p>
      <w:pPr>
        <w:pStyle w:val="13"/>
        <w:widowControl/>
        <w:snapToGrid/>
        <w:spacing w:before="0" w:beforeAutospacing="0" w:after="0" w:afterAutospacing="0" w:line="560" w:lineRule="exact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sectPr>
      <w:headerReference r:id="rId3" w:type="default"/>
      <w:footerReference r:id="rId4" w:type="default"/>
      <w:pgSz w:w="11849" w:h="16781"/>
      <w:pgMar w:top="2098" w:right="1587" w:bottom="1587" w:left="1587" w:header="851" w:footer="1417" w:gutter="0"/>
      <w:lnNumType w:countBy="0"/>
      <w:cols w:space="425" w:num="1"/>
      <w:vAlign w:val="top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9"/>
        <w:kern w:val="2"/>
        <w:sz w:val="18"/>
        <w:szCs w:val="21"/>
        <w:lang w:val="en-US" w:eastAsia="zh-CN" w:bidi="ar-SA"/>
      </w:rPr>
    </w:pPr>
    <w:r>
      <w:rPr>
        <w:rStyle w:val="9"/>
        <w:kern w:val="2"/>
        <w:sz w:val="18"/>
        <w:szCs w:val="21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4749800</wp:posOffset>
              </wp:positionH>
              <wp:positionV relativeFrom="paragraph">
                <wp:posOffset>-254000</wp:posOffset>
              </wp:positionV>
              <wp:extent cx="830580" cy="4787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0580" cy="478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jc w:val="both"/>
                            <w:textAlignment w:val="baseline"/>
                            <w:rPr>
                              <w:rStyle w:val="9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pt;margin-top:-20pt;height:37.7pt;width:65.4pt;mso-position-horizontal-relative:margin;z-index:251659264;mso-width-relative:page;mso-height-relative:page;" filled="f" stroked="f" coordsize="21600,21600" o:gfxdata="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KKT4NkAAAAKAQAADwAAAAAAAAABACAAAAAiAAAAZHJzL2Rvd25yZXYu&#10;eG1sUEsBAhQAFAAAAAgAh07iQPppEXzBAQAAegMAAA4AAAAAAAAAAQAgAAAAKA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jc w:val="both"/>
                      <w:textAlignment w:val="baseline"/>
                      <w:rPr>
                        <w:rStyle w:val="9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N2UwMzI1OTBmYzBlMTRmYTlmNDc5MWMzYTQ3NmYifQ=="/>
  </w:docVars>
  <w:rsids>
    <w:rsidRoot w:val="00000000"/>
    <w:rsid w:val="06E319B6"/>
    <w:rsid w:val="070776C9"/>
    <w:rsid w:val="07E76E41"/>
    <w:rsid w:val="0B3E5A16"/>
    <w:rsid w:val="0FE47F7C"/>
    <w:rsid w:val="30AB6B41"/>
    <w:rsid w:val="4A272C28"/>
    <w:rsid w:val="4DCD0A25"/>
    <w:rsid w:val="4F4F3D60"/>
    <w:rsid w:val="69B05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1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jc w:val="both"/>
      <w:textAlignment w:val="baseline"/>
    </w:pPr>
    <w:rPr>
      <w:kern w:val="2"/>
      <w:sz w:val="18"/>
      <w:szCs w:val="21"/>
      <w:lang w:val="en-US" w:eastAsia="zh-CN" w:bidi="ar-SA"/>
    </w:rPr>
  </w:style>
  <w:style w:type="paragraph" w:styleId="5">
    <w:name w:val="Title"/>
    <w:basedOn w:val="1"/>
    <w:next w:val="6"/>
    <w:qFormat/>
    <w:uiPriority w:val="0"/>
    <w:pPr>
      <w:spacing w:line="240" w:lineRule="atLeast"/>
      <w:jc w:val="center"/>
      <w:textAlignment w:val="baseline"/>
    </w:pPr>
    <w:rPr>
      <w:rFonts w:ascii="Cambria" w:hAnsi="Cambria" w:cs="Cambria"/>
      <w:b/>
      <w:bCs/>
      <w:kern w:val="2"/>
      <w:sz w:val="32"/>
      <w:szCs w:val="32"/>
      <w:lang w:val="en-US" w:eastAsia="zh-CN" w:bidi="ar-SA"/>
    </w:rPr>
  </w:style>
  <w:style w:type="paragraph" w:customStyle="1" w:styleId="6">
    <w:name w:val="UserStyle_0"/>
    <w:basedOn w:val="1"/>
    <w:next w:val="1"/>
    <w:qFormat/>
    <w:uiPriority w:val="0"/>
    <w:pPr>
      <w:ind w:firstLine="420" w:firstLineChars="140"/>
      <w:jc w:val="both"/>
      <w:textAlignment w:val="baseline"/>
    </w:pPr>
    <w:rPr>
      <w:kern w:val="2"/>
      <w:sz w:val="21"/>
      <w:szCs w:val="21"/>
      <w:lang w:val="en-US" w:eastAsia="zh-CN" w:bidi="ar-SA"/>
    </w:rPr>
  </w:style>
  <w:style w:type="character" w:customStyle="1" w:styleId="9">
    <w:name w:val="NormalCharacter"/>
    <w:link w:val="1"/>
    <w:qFormat/>
    <w:uiPriority w:val="0"/>
  </w:style>
  <w:style w:type="table" w:customStyle="1" w:styleId="10">
    <w:name w:val="TableNormal"/>
    <w:qFormat/>
    <w:uiPriority w:val="0"/>
  </w:style>
  <w:style w:type="paragraph" w:customStyle="1" w:styleId="11">
    <w:name w:val="TableOfAuthoring"/>
    <w:basedOn w:val="1"/>
    <w:next w:val="1"/>
    <w:qFormat/>
    <w:uiPriority w:val="0"/>
    <w:pPr>
      <w:ind w:left="420" w:leftChars="200"/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  <w:style w:type="character" w:customStyle="1" w:styleId="12">
    <w:name w:val="UserStyle_1"/>
    <w:basedOn w:val="9"/>
    <w:link w:val="3"/>
    <w:qFormat/>
    <w:uiPriority w:val="0"/>
    <w:rPr>
      <w:rFonts w:ascii="Calibri" w:hAnsi="Calibri" w:eastAsia="宋体"/>
      <w:sz w:val="18"/>
      <w:szCs w:val="21"/>
    </w:rPr>
  </w:style>
  <w:style w:type="paragraph" w:customStyle="1" w:styleId="13">
    <w:name w:val="UserStyle_2"/>
    <w:basedOn w:val="1"/>
    <w:qFormat/>
    <w:uiPriority w:val="0"/>
    <w:pPr>
      <w:spacing w:before="180" w:after="180" w:line="240" w:lineRule="atLeast"/>
      <w:jc w:val="both"/>
      <w:textAlignment w:val="baseline"/>
    </w:pPr>
  </w:style>
  <w:style w:type="character" w:customStyle="1" w:styleId="14">
    <w:name w:val="font01"/>
    <w:basedOn w:val="8"/>
    <w:qFormat/>
    <w:uiPriority w:val="0"/>
    <w:rPr>
      <w:rFonts w:ascii="Wingdings" w:hAnsi="Wingdings" w:cs="Wingding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2321</Words>
  <Characters>2394</Characters>
  <TotalTime>4</TotalTime>
  <ScaleCrop>false</ScaleCrop>
  <LinksUpToDate>false</LinksUpToDate>
  <CharactersWithSpaces>2646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2022-06-02T06:56:00Z</dcterms:created>
  <dc:creator>Administrator</dc:creator>
  <cp:lastModifiedBy>Miss fan</cp:lastModifiedBy>
  <dcterms:modified xsi:type="dcterms:W3CDTF">2022-06-08T03:11:28Z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324E5A09E6DF4CAD9AA0A223E600850D</vt:lpwstr>
  </property>
</Properties>
</file>