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ind w:left="105" w:leftChars="50"/>
        <w:jc w:val="left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5" w:leftChars="5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桃花源旅游管理区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宣传统战教育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局公开招聘编外临时工作人员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岗位计划表</w:t>
      </w:r>
    </w:p>
    <w:tbl>
      <w:tblPr>
        <w:tblStyle w:val="5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71"/>
        <w:gridCol w:w="1695"/>
        <w:gridCol w:w="1020"/>
        <w:gridCol w:w="1755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计划数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年龄要求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学历要求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综合管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理人员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30岁及以下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大学本科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说明：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30岁及以下，指1992年5月1日以后出生。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N2Q2ZGU4M2MxYTQ2OWIyMmM5M2ViNjQ1NjExZjUifQ=="/>
  </w:docVars>
  <w:rsids>
    <w:rsidRoot w:val="477A70AB"/>
    <w:rsid w:val="477A70AB"/>
    <w:rsid w:val="4D2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102</Characters>
  <Lines>0</Lines>
  <Paragraphs>0</Paragraphs>
  <TotalTime>34</TotalTime>
  <ScaleCrop>false</ScaleCrop>
  <LinksUpToDate>false</LinksUpToDate>
  <CharactersWithSpaces>102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2022-05-05T06:15:00Z</dcterms:created>
  <dc:creator>oooo1409704648</dc:creator>
  <cp:lastModifiedBy>HUYING</cp:lastModifiedBy>
  <cp:lastPrinted>2022-05-05T07:16:32Z</cp:lastPrinted>
  <dcterms:modified xsi:type="dcterms:W3CDTF">2022-05-05T07:19:31Z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986DB86891A54AC7B0B8FB9DBFAB13EA</vt:lpwstr>
  </property>
</Properties>
</file>