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山西万家寨水控工程投资有限公司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山西万家寨水控工程投资有限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是万家寨水务控股集团有限公司的二级子公司，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是一家以水利工程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施工和涉水项目投资</w:t>
      </w:r>
      <w:r>
        <w:rPr>
          <w:rFonts w:hint="eastAsia" w:ascii="仿宋_GB2312" w:hAnsi="仿宋_GB2312" w:eastAsia="仿宋_GB2312" w:cs="仿宋_GB2312"/>
          <w:sz w:val="32"/>
          <w:szCs w:val="32"/>
        </w:rPr>
        <w:t>为主的企业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由山西水务工程有限公司（以下简称工程公司）和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山西万家寨建筑安装工程有限公司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以下简称安装公司）合并重组而成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前身是山西水务潞泽河湖工程有限公司，于1999年4月成立，2010年10月进行重组，2016年12月，更名为山西水务工程有限公司。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安装公司成立于2003年1月。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2021年3月两公司完成合并重组，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山西水务工程有限公司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更名为山西万家寨水控工程投资有限公司。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公司注册资本为10000万元。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公司架构由董事会、监事会、经理层组成，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本部下设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-SA"/>
        </w:rPr>
        <w:t>党群工作部、综合办公室、财务部、经营管理部、投融资部、安全管理部6个部室，项目管理中心、技术管理中心、物资管理中心3个管理中心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。下设第一、第二、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太原、长治、昔阳、右玉等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个分公司，山西水投临猗水务发展有限公司、山西麟泽水务有限公司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山西万家寨建筑安装工程有限公司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个子公司。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公司具有</w:t>
      </w:r>
      <w:r>
        <w:rPr>
          <w:rFonts w:hint="eastAsia" w:ascii="仿宋_GB2312" w:hAnsi="仿宋_GB2312" w:eastAsia="仿宋_GB2312" w:cs="仿宋_GB2312"/>
          <w:sz w:val="32"/>
          <w:szCs w:val="24"/>
        </w:rPr>
        <w:t>水利水电工程施工总承包贰级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资质，</w:t>
      </w:r>
      <w:r>
        <w:rPr>
          <w:rFonts w:hint="eastAsia" w:ascii="仿宋_GB2312" w:hAnsi="仿宋_GB2312" w:eastAsia="仿宋_GB2312" w:cs="仿宋_GB2312"/>
          <w:sz w:val="32"/>
          <w:szCs w:val="24"/>
        </w:rPr>
        <w:t>建筑工程、市政公用工程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24"/>
        </w:rPr>
        <w:t>机电工程施工总承包叁级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资质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24"/>
        </w:rPr>
        <w:t>河湖整治专业承包贰级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资质和</w:t>
      </w:r>
      <w:r>
        <w:rPr>
          <w:rFonts w:hint="eastAsia" w:ascii="仿宋_GB2312" w:hAnsi="仿宋_GB2312" w:eastAsia="仿宋_GB2312" w:cs="仿宋_GB2312"/>
          <w:sz w:val="32"/>
          <w:szCs w:val="24"/>
        </w:rPr>
        <w:t>隧道工程、地基基础工程、钢结构工程、古建筑工程、环保工程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24"/>
        </w:rPr>
        <w:t>专业承包叁级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资质。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24"/>
          <w:lang w:val="en-US" w:eastAsia="zh-CN"/>
        </w:rPr>
        <w:t>二、薪酬待遇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我公司具有较为完善的薪酬福利体系和请休假制度，按规定为职工缴纳五险一金，具体薪酬情况详见岗位一览表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。职工按规定享受带薪年假、生育假等法定假期。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我公司成立了工会，依法维护职工切身利益，工会依法合规为职工提供生日蛋糕卡、节日福利，每年组织职工体检，每年三八妇女节、五四青年节和元旦等节日，组织丰富的文化娱乐活动，进一步丰富职工业余文化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24"/>
          <w:lang w:val="en-US" w:eastAsia="zh-CN"/>
        </w:rPr>
        <w:t>三、身体条件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身体健康，能够适应长期出差和正常工作需要，项目经理岗位能够适应工地一线工作。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咨询人：毛怡敏           咨询电话：13663519936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F12B2"/>
    <w:rsid w:val="05902FE0"/>
    <w:rsid w:val="2A8273EB"/>
    <w:rsid w:val="36746BC5"/>
    <w:rsid w:val="6ACF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2022-03-17T06:14:00Z</dcterms:created>
  <dc:creator>阿牛哥</dc:creator>
  <cp:lastModifiedBy>Lenovo</cp:lastModifiedBy>
  <dcterms:modified xsi:type="dcterms:W3CDTF">2022-03-30T03:09:35Z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26B94F51A61D4B3A8BA7F2DC0FF47E5C</vt:lpwstr>
  </property>
</Properties>
</file>