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5502" w:type="dxa"/>
        <w:jc w:val="center"/>
        <w:shd w:val="clear" w:color="auto" w:fill="auto"/>
        <w:tblLayout w:type="autofit"/>
        <w:tblCellMar>
          <w:top w:w="0" w:type="dxa"/>
          <w:left w:w="108" w:type="dxa"/>
          <w:bottom w:w="0" w:type="dxa"/>
          <w:right w:w="108" w:type="dxa"/>
        </w:tblCellMar>
      </w:tblPr>
      <w:tblGrid>
        <w:gridCol w:w="659"/>
        <w:gridCol w:w="773"/>
        <w:gridCol w:w="620"/>
        <w:gridCol w:w="2050"/>
        <w:gridCol w:w="1845"/>
        <w:gridCol w:w="990"/>
        <w:gridCol w:w="630"/>
        <w:gridCol w:w="7020"/>
        <w:gridCol w:w="915"/>
      </w:tblGrid>
      <w:tr>
        <w:tblPrEx>
          <w:shd w:val="clear" w:color="auto" w:fill="auto"/>
          <w:tblCellMar>
            <w:top w:w="0" w:type="dxa"/>
            <w:left w:w="108" w:type="dxa"/>
            <w:bottom w:w="0" w:type="dxa"/>
            <w:right w:w="108" w:type="dxa"/>
          </w:tblCellMar>
        </w:tblPrEx>
        <w:trPr>
          <w:trHeight w:val="414" w:hRule="atLeast"/>
          <w:jc w:val="center"/>
        </w:trPr>
        <w:tc>
          <w:tcPr>
            <w:tcW w:w="1432"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附件1</w:t>
            </w:r>
          </w:p>
        </w:tc>
        <w:tc>
          <w:tcPr>
            <w:tcW w:w="6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205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4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9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3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2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60" w:hRule="atLeast"/>
          <w:jc w:val="center"/>
        </w:trPr>
        <w:tc>
          <w:tcPr>
            <w:tcW w:w="15502" w:type="dxa"/>
            <w:gridSpan w:val="9"/>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8"/>
                <w:szCs w:val="48"/>
                <w:u w:val="none"/>
                <w:lang w:val="en-US" w:eastAsia="zh-CN" w:bidi="ar"/>
              </w:rPr>
              <w:t>岑溪市华城投资发展集团有限公司2022年公开招聘岗位表</w:t>
            </w:r>
          </w:p>
        </w:tc>
      </w:tr>
      <w:tr>
        <w:tblPrEx>
          <w:shd w:val="clear" w:color="auto" w:fill="auto"/>
          <w:tblCellMar>
            <w:top w:w="0" w:type="dxa"/>
            <w:left w:w="108" w:type="dxa"/>
            <w:bottom w:w="0" w:type="dxa"/>
            <w:right w:w="108" w:type="dxa"/>
          </w:tblCellMar>
        </w:tblPrEx>
        <w:trPr>
          <w:trHeight w:val="499" w:hRule="atLeast"/>
          <w:jc w:val="center"/>
        </w:trPr>
        <w:tc>
          <w:tcPr>
            <w:tcW w:w="6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32"/>
                <w:szCs w:val="32"/>
                <w:u w:val="none"/>
              </w:rPr>
            </w:pPr>
            <w:r>
              <w:rPr>
                <w:rFonts w:hint="eastAsia" w:ascii="仿宋" w:hAnsi="仿宋" w:eastAsia="仿宋" w:cs="仿宋"/>
                <w:b/>
                <w:bCs/>
                <w:i w:val="0"/>
                <w:iCs w:val="0"/>
                <w:color w:val="000000"/>
                <w:kern w:val="0"/>
                <w:sz w:val="32"/>
                <w:szCs w:val="32"/>
                <w:u w:val="none"/>
                <w:lang w:val="en-US" w:eastAsia="zh-CN" w:bidi="ar"/>
              </w:rPr>
              <w:t>序号</w:t>
            </w:r>
          </w:p>
        </w:tc>
        <w:tc>
          <w:tcPr>
            <w:tcW w:w="7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32"/>
                <w:szCs w:val="32"/>
                <w:u w:val="none"/>
              </w:rPr>
            </w:pPr>
            <w:r>
              <w:rPr>
                <w:rFonts w:hint="eastAsia" w:ascii="仿宋" w:hAnsi="仿宋" w:eastAsia="仿宋" w:cs="仿宋"/>
                <w:b/>
                <w:bCs/>
                <w:i w:val="0"/>
                <w:iCs w:val="0"/>
                <w:color w:val="000000"/>
                <w:kern w:val="0"/>
                <w:sz w:val="32"/>
                <w:szCs w:val="32"/>
                <w:u w:val="none"/>
                <w:lang w:val="en-US" w:eastAsia="zh-CN" w:bidi="ar"/>
              </w:rPr>
              <w:t>岗位</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32"/>
                <w:szCs w:val="32"/>
                <w:u w:val="none"/>
              </w:rPr>
            </w:pPr>
            <w:r>
              <w:rPr>
                <w:rFonts w:hint="eastAsia" w:ascii="仿宋" w:hAnsi="仿宋" w:eastAsia="仿宋" w:cs="仿宋"/>
                <w:b/>
                <w:bCs/>
                <w:i w:val="0"/>
                <w:iCs w:val="0"/>
                <w:color w:val="000000"/>
                <w:kern w:val="0"/>
                <w:sz w:val="32"/>
                <w:szCs w:val="32"/>
                <w:u w:val="none"/>
                <w:lang w:val="en-US" w:eastAsia="zh-CN" w:bidi="ar"/>
              </w:rPr>
              <w:t>人数</w:t>
            </w:r>
          </w:p>
        </w:tc>
        <w:tc>
          <w:tcPr>
            <w:tcW w:w="125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32"/>
                <w:szCs w:val="32"/>
                <w:u w:val="none"/>
              </w:rPr>
            </w:pPr>
            <w:r>
              <w:rPr>
                <w:rFonts w:hint="eastAsia" w:ascii="仿宋" w:hAnsi="仿宋" w:eastAsia="仿宋" w:cs="仿宋"/>
                <w:b/>
                <w:bCs/>
                <w:i w:val="0"/>
                <w:iCs w:val="0"/>
                <w:color w:val="000000"/>
                <w:kern w:val="0"/>
                <w:sz w:val="32"/>
                <w:szCs w:val="32"/>
                <w:u w:val="none"/>
                <w:lang w:val="en-US" w:eastAsia="zh-CN" w:bidi="ar"/>
              </w:rPr>
              <w:t>招聘条件</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32"/>
                <w:szCs w:val="32"/>
                <w:u w:val="none"/>
              </w:rPr>
            </w:pPr>
          </w:p>
        </w:tc>
      </w:tr>
      <w:tr>
        <w:tblPrEx>
          <w:shd w:val="clear" w:color="auto" w:fill="auto"/>
          <w:tblCellMar>
            <w:top w:w="0" w:type="dxa"/>
            <w:left w:w="108" w:type="dxa"/>
            <w:bottom w:w="0" w:type="dxa"/>
            <w:right w:w="108" w:type="dxa"/>
          </w:tblCellMar>
        </w:tblPrEx>
        <w:trPr>
          <w:trHeight w:val="998" w:hRule="atLeast"/>
          <w:jc w:val="center"/>
        </w:trPr>
        <w:tc>
          <w:tcPr>
            <w:tcW w:w="659"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32"/>
                <w:szCs w:val="32"/>
                <w:u w:val="none"/>
              </w:rPr>
            </w:pPr>
          </w:p>
        </w:tc>
        <w:tc>
          <w:tcPr>
            <w:tcW w:w="773"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32"/>
                <w:szCs w:val="32"/>
                <w:u w:val="none"/>
              </w:rPr>
            </w:pPr>
          </w:p>
        </w:tc>
        <w:tc>
          <w:tcPr>
            <w:tcW w:w="620"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32"/>
                <w:szCs w:val="32"/>
                <w:u w:val="none"/>
              </w:rPr>
            </w:pP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32"/>
                <w:szCs w:val="32"/>
                <w:u w:val="none"/>
              </w:rPr>
            </w:pPr>
            <w:r>
              <w:rPr>
                <w:rFonts w:hint="eastAsia" w:ascii="仿宋" w:hAnsi="仿宋" w:eastAsia="仿宋" w:cs="仿宋"/>
                <w:b/>
                <w:bCs/>
                <w:i w:val="0"/>
                <w:iCs w:val="0"/>
                <w:color w:val="000000"/>
                <w:kern w:val="0"/>
                <w:sz w:val="32"/>
                <w:szCs w:val="32"/>
                <w:u w:val="none"/>
                <w:lang w:val="en-US" w:eastAsia="zh-CN" w:bidi="ar"/>
              </w:rPr>
              <w:t>专业</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32"/>
                <w:szCs w:val="32"/>
                <w:u w:val="none"/>
              </w:rPr>
            </w:pPr>
            <w:r>
              <w:rPr>
                <w:rFonts w:hint="eastAsia" w:ascii="仿宋" w:hAnsi="仿宋" w:eastAsia="仿宋" w:cs="仿宋"/>
                <w:b/>
                <w:bCs/>
                <w:i w:val="0"/>
                <w:iCs w:val="0"/>
                <w:color w:val="000000"/>
                <w:kern w:val="0"/>
                <w:sz w:val="32"/>
                <w:szCs w:val="32"/>
                <w:u w:val="none"/>
                <w:lang w:val="en-US" w:eastAsia="zh-CN" w:bidi="ar"/>
              </w:rPr>
              <w:t>学历</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32"/>
                <w:szCs w:val="32"/>
                <w:u w:val="none"/>
              </w:rPr>
            </w:pPr>
            <w:r>
              <w:rPr>
                <w:rFonts w:hint="eastAsia" w:ascii="仿宋" w:hAnsi="仿宋" w:eastAsia="仿宋" w:cs="仿宋"/>
                <w:b/>
                <w:bCs/>
                <w:i w:val="0"/>
                <w:iCs w:val="0"/>
                <w:color w:val="000000"/>
                <w:kern w:val="0"/>
                <w:sz w:val="32"/>
                <w:szCs w:val="32"/>
                <w:u w:val="none"/>
                <w:lang w:val="en-US" w:eastAsia="zh-CN" w:bidi="ar"/>
              </w:rPr>
              <w:t>工作经验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32"/>
                <w:szCs w:val="32"/>
                <w:u w:val="none"/>
              </w:rPr>
            </w:pPr>
            <w:r>
              <w:rPr>
                <w:rFonts w:hint="eastAsia" w:ascii="仿宋" w:hAnsi="仿宋" w:eastAsia="仿宋" w:cs="仿宋"/>
                <w:b/>
                <w:bCs/>
                <w:i w:val="0"/>
                <w:iCs w:val="0"/>
                <w:color w:val="000000"/>
                <w:kern w:val="0"/>
                <w:sz w:val="32"/>
                <w:szCs w:val="32"/>
                <w:u w:val="none"/>
                <w:lang w:val="en-US" w:eastAsia="zh-CN" w:bidi="ar"/>
              </w:rPr>
              <w:t>年龄</w:t>
            </w:r>
          </w:p>
        </w:tc>
        <w:tc>
          <w:tcPr>
            <w:tcW w:w="702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32"/>
                <w:szCs w:val="32"/>
                <w:u w:val="none"/>
              </w:rPr>
            </w:pPr>
            <w:r>
              <w:rPr>
                <w:rFonts w:hint="eastAsia" w:ascii="仿宋" w:hAnsi="仿宋" w:eastAsia="仿宋" w:cs="仿宋"/>
                <w:b/>
                <w:bCs/>
                <w:i w:val="0"/>
                <w:iCs w:val="0"/>
                <w:color w:val="000000"/>
                <w:kern w:val="0"/>
                <w:sz w:val="32"/>
                <w:szCs w:val="32"/>
                <w:u w:val="none"/>
                <w:lang w:val="en-US" w:eastAsia="zh-CN" w:bidi="ar"/>
              </w:rPr>
              <w:t>任职要求</w:t>
            </w:r>
          </w:p>
        </w:tc>
        <w:tc>
          <w:tcPr>
            <w:tcW w:w="91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32"/>
                <w:szCs w:val="32"/>
                <w:u w:val="none"/>
              </w:rPr>
            </w:pPr>
            <w:r>
              <w:rPr>
                <w:rFonts w:hint="eastAsia" w:ascii="仿宋" w:hAnsi="仿宋" w:eastAsia="仿宋" w:cs="仿宋"/>
                <w:b/>
                <w:bCs/>
                <w:i w:val="0"/>
                <w:iCs w:val="0"/>
                <w:color w:val="000000"/>
                <w:kern w:val="0"/>
                <w:sz w:val="32"/>
                <w:szCs w:val="32"/>
                <w:u w:val="none"/>
                <w:lang w:val="en-US" w:eastAsia="zh-CN" w:bidi="ar"/>
              </w:rPr>
              <w:t>薪资待遇</w:t>
            </w:r>
          </w:p>
        </w:tc>
      </w:tr>
      <w:tr>
        <w:tblPrEx>
          <w:shd w:val="clear" w:color="auto" w:fill="auto"/>
          <w:tblCellMar>
            <w:top w:w="0" w:type="dxa"/>
            <w:left w:w="108" w:type="dxa"/>
            <w:bottom w:w="0" w:type="dxa"/>
            <w:right w:w="108" w:type="dxa"/>
          </w:tblCellMar>
        </w:tblPrEx>
        <w:trPr>
          <w:trHeight w:val="3432" w:hRule="atLeast"/>
          <w:jc w:val="center"/>
        </w:trPr>
        <w:tc>
          <w:tcPr>
            <w:tcW w:w="659" w:type="dxa"/>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w:t>
            </w:r>
          </w:p>
        </w:tc>
        <w:tc>
          <w:tcPr>
            <w:tcW w:w="773"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行政岗</w:t>
            </w:r>
          </w:p>
        </w:tc>
        <w:tc>
          <w:tcPr>
            <w:tcW w:w="620"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05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人力资源类、汉语言文学、行政管理、新闻学类</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全日制大学本科及以上学历</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1.人力资源类优先；  2.同专业，两年以上工作经验。</w:t>
            </w:r>
          </w:p>
        </w:tc>
        <w:tc>
          <w:tcPr>
            <w:tcW w:w="6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35周岁以下</w:t>
            </w:r>
          </w:p>
        </w:tc>
        <w:tc>
          <w:tcPr>
            <w:tcW w:w="70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1、熟悉国有企业管理工作，具有一定的组织、沟通、协调和管理能力。</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2、熟悉现代企业人力资源管理，在人力资源战略规划、人才的引进、薪酬福利设计、绩效激励考核、员工培训等方面具有一定的实践经验。</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3、熟悉国家关于合同管理、薪金制度、用人机制、保险、福利待遇、培训等方面的法律法规及政策。             </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4、具有较强的团队协作能力，责任心、事业心强，具备良好的管理能力和决策能力。                                    </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5、具有较好的公文写作能力和电脑实际操作能力,能熟练使用Word、Excel等办公软件。                                </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6、有机关、事业单位、企业工作经验的优先考虑。</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 xml:space="preserve">7、对应工作岗位经验丰富者，可适当放宽年龄、学历要求。                                            </w:t>
            </w:r>
          </w:p>
        </w:tc>
        <w:tc>
          <w:tcPr>
            <w:tcW w:w="915"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1.试用期2个月，经试用合格正式聘用；2.福利待遇按集团公司员工管理制度执行；</w:t>
            </w:r>
          </w:p>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3.按规定缴纳五险二金。</w:t>
            </w:r>
          </w:p>
        </w:tc>
      </w:tr>
      <w:tr>
        <w:tblPrEx>
          <w:shd w:val="clear" w:color="auto" w:fill="auto"/>
          <w:tblCellMar>
            <w:top w:w="0" w:type="dxa"/>
            <w:left w:w="108" w:type="dxa"/>
            <w:bottom w:w="0" w:type="dxa"/>
            <w:right w:w="108" w:type="dxa"/>
          </w:tblCellMar>
        </w:tblPrEx>
        <w:trPr>
          <w:trHeight w:val="3432" w:hRule="atLeast"/>
          <w:jc w:val="center"/>
        </w:trPr>
        <w:tc>
          <w:tcPr>
            <w:tcW w:w="659" w:type="dxa"/>
            <w:vMerge w:val="continue"/>
            <w:tcBorders>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kern w:val="0"/>
                <w:sz w:val="20"/>
                <w:szCs w:val="20"/>
                <w:u w:val="none"/>
                <w:lang w:val="en-US" w:eastAsia="zh-CN" w:bidi="ar"/>
              </w:rPr>
            </w:pPr>
          </w:p>
        </w:tc>
        <w:tc>
          <w:tcPr>
            <w:tcW w:w="773"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620"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205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专业不限</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全日制大学本科及以上学历</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两年以上工作经验。</w:t>
            </w:r>
          </w:p>
        </w:tc>
        <w:tc>
          <w:tcPr>
            <w:tcW w:w="6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35周岁以下</w:t>
            </w:r>
          </w:p>
        </w:tc>
        <w:tc>
          <w:tcPr>
            <w:tcW w:w="70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jc w:val="left"/>
              <w:textAlignment w:val="center"/>
              <w:rPr>
                <w:rFonts w:hint="eastAsia" w:ascii="仿宋_GB2312" w:hAnsi="宋体" w:eastAsia="仿宋_GB2312" w:cs="仿宋_GB2312"/>
                <w:i w:val="0"/>
                <w:iCs w:val="0"/>
                <w:color w:val="auto"/>
                <w:kern w:val="2"/>
                <w:sz w:val="20"/>
                <w:szCs w:val="20"/>
                <w:u w:val="none"/>
                <w:lang w:val="en-US" w:eastAsia="zh-CN" w:bidi="ar-SA"/>
              </w:rPr>
            </w:pPr>
          </w:p>
        </w:tc>
        <w:tc>
          <w:tcPr>
            <w:tcW w:w="91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4339" w:hRule="atLeast"/>
          <w:jc w:val="center"/>
        </w:trPr>
        <w:tc>
          <w:tcPr>
            <w:tcW w:w="65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w:t>
            </w:r>
          </w:p>
        </w:tc>
        <w:tc>
          <w:tcPr>
            <w:tcW w:w="77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财务金融岗</w:t>
            </w:r>
          </w:p>
        </w:tc>
        <w:tc>
          <w:tcPr>
            <w:tcW w:w="62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会计类、财务管理类、审计类</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全日制大学本科及以上学历</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1.应届毕业生1人；</w:t>
            </w:r>
          </w:p>
          <w:p>
            <w:pPr>
              <w:keepNext w:val="0"/>
              <w:keepLines w:val="0"/>
              <w:widowControl/>
              <w:suppressLineNumbers w:val="0"/>
              <w:jc w:val="both"/>
              <w:textAlignment w:val="center"/>
              <w:rPr>
                <w:rFonts w:hint="eastAsia"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2.同专业，两年以上工作经验1人。</w:t>
            </w:r>
          </w:p>
        </w:tc>
        <w:tc>
          <w:tcPr>
            <w:tcW w:w="6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35周岁以下</w:t>
            </w:r>
          </w:p>
        </w:tc>
        <w:tc>
          <w:tcPr>
            <w:tcW w:w="7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1、需具备会计从业资格证或会计专业职称。</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2、熟悉国家财务、税务、审计等经济法规与政策。</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3、具有较强数据处理分析能力，良好的沟通、计划执行及分析能力，能胜任企业财税管理、财务预算等财务管理工作。</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4、熟悉融资相关工作。</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5、有财政部门、金融机构、国企工作背景，或有机关、事业单位、企业工作背景的优先考虑。                       </w:t>
            </w:r>
          </w:p>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6、对应工作岗位经验丰富者，可适当放宽年龄、学历要求。</w:t>
            </w:r>
          </w:p>
        </w:tc>
        <w:tc>
          <w:tcPr>
            <w:tcW w:w="9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1.试用期2个月，经试用合格正式聘用；</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2.福利待遇按集团公司员工管理制度执行；</w:t>
            </w:r>
          </w:p>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3.按规定缴纳五险二金。          </w:t>
            </w:r>
          </w:p>
          <w:p>
            <w:pPr>
              <w:jc w:val="left"/>
              <w:rPr>
                <w:rFonts w:hint="eastAsia" w:ascii="宋体" w:hAnsi="宋体" w:eastAsia="宋体" w:cs="宋体"/>
                <w:i w:val="0"/>
                <w:iCs w:val="0"/>
                <w:color w:val="auto"/>
                <w:sz w:val="24"/>
                <w:szCs w:val="24"/>
                <w:u w:val="none"/>
              </w:rPr>
            </w:pPr>
          </w:p>
        </w:tc>
      </w:tr>
      <w:tr>
        <w:tblPrEx>
          <w:shd w:val="clear" w:color="auto" w:fill="auto"/>
          <w:tblCellMar>
            <w:top w:w="0" w:type="dxa"/>
            <w:left w:w="108" w:type="dxa"/>
            <w:bottom w:w="0" w:type="dxa"/>
            <w:right w:w="108" w:type="dxa"/>
          </w:tblCellMar>
        </w:tblPrEx>
        <w:trPr>
          <w:trHeight w:val="3198" w:hRule="atLeast"/>
          <w:jc w:val="center"/>
        </w:trPr>
        <w:tc>
          <w:tcPr>
            <w:tcW w:w="6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w:t>
            </w:r>
          </w:p>
        </w:tc>
        <w:tc>
          <w:tcPr>
            <w:tcW w:w="7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投资发展岗</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资源环境与城乡规划管理、土地资源管理</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全日制大学本科及以上学历</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同专业，两年以上工作经验。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35周岁以下</w:t>
            </w:r>
          </w:p>
        </w:tc>
        <w:tc>
          <w:tcPr>
            <w:tcW w:w="7020"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1、遵纪守法，廉洁自律，品行端正，诚实守信，具有良好的思想政治素质和职业素养；</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2、事业心强，责任心强，具有良好的敬业精神和团队合作精神，较强的组织、领导、沟通、协调及创新能力；</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3、熟悉城市规划行业知识、土地利用规划行业、矿产资源管理知识，熟悉本行业相关国家、地方、行业规范、标准及相关法律法规、管理办法等；</w:t>
            </w:r>
          </w:p>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4、具有推进城市更新和地下空间开发利用项目的规划设计及土地储备相关管理工作经验的优先考虑。</w:t>
            </w: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_GB2312" w:hAnsi="宋体" w:eastAsia="仿宋_GB2312" w:cs="仿宋_GB2312"/>
                <w:i w:val="0"/>
                <w:iCs w:val="0"/>
                <w:color w:val="auto"/>
                <w:sz w:val="20"/>
                <w:szCs w:val="20"/>
                <w:u w:val="none"/>
              </w:rPr>
            </w:pPr>
          </w:p>
        </w:tc>
      </w:tr>
      <w:tr>
        <w:tblPrEx>
          <w:shd w:val="clear" w:color="auto" w:fill="auto"/>
          <w:tblCellMar>
            <w:top w:w="0" w:type="dxa"/>
            <w:left w:w="108" w:type="dxa"/>
            <w:bottom w:w="0" w:type="dxa"/>
            <w:right w:w="108" w:type="dxa"/>
          </w:tblCellMar>
        </w:tblPrEx>
        <w:trPr>
          <w:trHeight w:val="3306" w:hRule="atLeast"/>
          <w:jc w:val="center"/>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7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金融类、经管类、资产运营</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全日制大学本科及以上学历</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同专业，两年以上工作经验。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35周岁以下</w:t>
            </w:r>
          </w:p>
        </w:tc>
        <w:tc>
          <w:tcPr>
            <w:tcW w:w="7020"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1、熟悉企业战略规划制定与执行、企业投资项目管理、投融资等相关专业知识和业务流程；</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2、有企业战略规划管理、项目投融资开发管理、资产运营管理等相关行业工作经验的优先考虑；</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3、具备较强风险控制能力和商务谈判能力，有较好的发展战略思维和投资决策前瞻意识；</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4、具备良好的分析判断、组织协调和一定的写作能力；</w:t>
            </w:r>
          </w:p>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5、具有高度的责任心、事业心和敬业精神，抗压力强。</w:t>
            </w: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shd w:val="clear" w:color="auto" w:fill="auto"/>
          <w:tblCellMar>
            <w:top w:w="0" w:type="dxa"/>
            <w:left w:w="108" w:type="dxa"/>
            <w:bottom w:w="0" w:type="dxa"/>
            <w:right w:w="108" w:type="dxa"/>
          </w:tblCellMar>
        </w:tblPrEx>
        <w:trPr>
          <w:trHeight w:val="5493"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工程建设岗</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工民建、土木工程、工程管理、工程造价类、给排水工程及相关专业</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全日制大学本科及以上学历</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同专业，两年以上工作经验。</w:t>
            </w:r>
          </w:p>
        </w:tc>
        <w:tc>
          <w:tcPr>
            <w:tcW w:w="6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35周岁以下</w:t>
            </w:r>
          </w:p>
        </w:tc>
        <w:tc>
          <w:tcPr>
            <w:tcW w:w="7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1、熟悉工程的建设流程、施工组织及现场监督管理等相关业务。</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2、熟悉工程项目前期资料准备、报批报建等。</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3、熟悉工程项目的设计、工程造价、设计图纸审查优化等。</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4、具有较强的工程现场管理和沟通协调能力。</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5、具备相关专业中级职称以上的优先。</w:t>
            </w:r>
          </w:p>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6、对应工作岗位经验丰富者，写作能力较强者，可适当放宽年龄、学历要求。</w:t>
            </w:r>
          </w:p>
        </w:tc>
        <w:tc>
          <w:tcPr>
            <w:tcW w:w="9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1.试用期2个月，经试用合格正式聘用；</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2.福利待遇按集团公司员工管理制度执行；</w:t>
            </w:r>
          </w:p>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3.按规定缴纳五险二金。</w:t>
            </w:r>
          </w:p>
        </w:tc>
      </w:tr>
      <w:tr>
        <w:tblPrEx>
          <w:shd w:val="clear" w:color="auto" w:fill="auto"/>
          <w:tblCellMar>
            <w:top w:w="0" w:type="dxa"/>
            <w:left w:w="108" w:type="dxa"/>
            <w:bottom w:w="0" w:type="dxa"/>
            <w:right w:w="108" w:type="dxa"/>
          </w:tblCellMar>
        </w:tblPrEx>
        <w:trPr>
          <w:trHeight w:val="4078"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lang w:val="en-US" w:eastAsia="zh-CN" w:bidi="ar"/>
              </w:rPr>
              <w:t>农业技术岗</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农业类专业</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本科及以上学历</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不限</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45周岁以下</w:t>
            </w:r>
          </w:p>
        </w:tc>
        <w:tc>
          <w:tcPr>
            <w:tcW w:w="702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1、农学、植物保护、园林等农业相关专业优先；</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2、踏实，能吃苦，在艰苦环境下能稳定工作；</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3、协调公司与农村、地方关系，保证项目顺利进行；</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4、有种植经验者优先考虑。</w:t>
            </w: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_GB2312" w:hAnsi="宋体" w:eastAsia="仿宋_GB2312" w:cs="仿宋_GB2312"/>
                <w:i w:val="0"/>
                <w:iCs w:val="0"/>
                <w:color w:val="auto"/>
                <w:sz w:val="20"/>
                <w:szCs w:val="20"/>
                <w:u w:val="none"/>
              </w:rPr>
            </w:pPr>
          </w:p>
        </w:tc>
      </w:tr>
      <w:tr>
        <w:tblPrEx>
          <w:shd w:val="clear" w:color="auto" w:fill="auto"/>
          <w:tblCellMar>
            <w:top w:w="0" w:type="dxa"/>
            <w:left w:w="108" w:type="dxa"/>
            <w:bottom w:w="0" w:type="dxa"/>
            <w:right w:w="108" w:type="dxa"/>
          </w:tblCellMar>
        </w:tblPrEx>
        <w:trPr>
          <w:trHeight w:val="665" w:hRule="atLeast"/>
          <w:jc w:val="center"/>
        </w:trPr>
        <w:tc>
          <w:tcPr>
            <w:tcW w:w="1550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auto"/>
                <w:sz w:val="20"/>
                <w:szCs w:val="20"/>
                <w:u w:val="none"/>
                <w:lang w:val="en-US"/>
              </w:rPr>
            </w:pPr>
            <w:r>
              <w:rPr>
                <w:rFonts w:hint="eastAsia" w:ascii="宋体" w:hAnsi="宋体" w:eastAsia="宋体" w:cs="宋体"/>
                <w:i w:val="0"/>
                <w:iCs w:val="0"/>
                <w:color w:val="000000"/>
                <w:kern w:val="0"/>
                <w:sz w:val="24"/>
                <w:szCs w:val="24"/>
                <w:u w:val="none"/>
                <w:lang w:val="en-US" w:eastAsia="zh-CN" w:bidi="ar"/>
              </w:rPr>
              <w:t>合计人数：10人</w:t>
            </w:r>
          </w:p>
        </w:tc>
      </w:tr>
      <w:tr>
        <w:tblPrEx>
          <w:tblCellMar>
            <w:top w:w="0" w:type="dxa"/>
            <w:left w:w="108" w:type="dxa"/>
            <w:bottom w:w="0" w:type="dxa"/>
            <w:right w:w="108" w:type="dxa"/>
          </w:tblCellMar>
        </w:tblPrEx>
        <w:trPr>
          <w:trHeight w:val="645" w:hRule="atLeast"/>
          <w:jc w:val="center"/>
        </w:trPr>
        <w:tc>
          <w:tcPr>
            <w:tcW w:w="15502" w:type="dxa"/>
            <w:gridSpan w:val="9"/>
            <w:tcBorders>
              <w:top w:val="single" w:color="000000" w:sz="4"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bl>
    <w:p>
      <w:pPr>
        <w:jc w:val="both"/>
        <w:sectPr>
          <w:pgSz w:w="16838" w:h="11906" w:orient="landscape"/>
          <w:pgMar w:top="283" w:right="680" w:bottom="283" w:left="680" w:header="851" w:footer="992" w:gutter="0"/>
          <w:cols w:space="0" w:num="1"/>
          <w:rtlGutter w:val="0"/>
          <w:docGrid w:type="lines" w:linePitch="312" w:charSpace="0"/>
        </w:sectPr>
      </w:pPr>
    </w:p>
    <w:p>
      <w:pPr>
        <w:spacing w:line="300" w:lineRule="exact"/>
        <w:jc w:val="left"/>
        <w:rPr>
          <w:sz w:val="21"/>
          <w:szCs w:val="21"/>
        </w:rPr>
      </w:pPr>
      <w:bookmarkStart w:id="0" w:name="_GoBack"/>
      <w:bookmarkEnd w:id="0"/>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54C71"/>
    <w:rsid w:val="01021B0A"/>
    <w:rsid w:val="010C6B7A"/>
    <w:rsid w:val="057E3630"/>
    <w:rsid w:val="066119E6"/>
    <w:rsid w:val="06EC6BA5"/>
    <w:rsid w:val="09693300"/>
    <w:rsid w:val="09CB1E88"/>
    <w:rsid w:val="0A8B7072"/>
    <w:rsid w:val="0AFE6085"/>
    <w:rsid w:val="0B425871"/>
    <w:rsid w:val="0C2B5C2D"/>
    <w:rsid w:val="0D3D0C84"/>
    <w:rsid w:val="0D4652E5"/>
    <w:rsid w:val="0DF01069"/>
    <w:rsid w:val="0EC115EE"/>
    <w:rsid w:val="0F0D6958"/>
    <w:rsid w:val="0F3B3729"/>
    <w:rsid w:val="1023532B"/>
    <w:rsid w:val="11BA2E4F"/>
    <w:rsid w:val="11DC2C09"/>
    <w:rsid w:val="13485BC3"/>
    <w:rsid w:val="136502CC"/>
    <w:rsid w:val="1451309D"/>
    <w:rsid w:val="145D26AB"/>
    <w:rsid w:val="154A4066"/>
    <w:rsid w:val="155D6273"/>
    <w:rsid w:val="17461C55"/>
    <w:rsid w:val="19BA7125"/>
    <w:rsid w:val="1C0136A0"/>
    <w:rsid w:val="211306DE"/>
    <w:rsid w:val="24512454"/>
    <w:rsid w:val="251B5556"/>
    <w:rsid w:val="254A43CB"/>
    <w:rsid w:val="27EB64DF"/>
    <w:rsid w:val="29DD5F32"/>
    <w:rsid w:val="2A2B4279"/>
    <w:rsid w:val="2BD53F89"/>
    <w:rsid w:val="2E4C6475"/>
    <w:rsid w:val="2FD01ECA"/>
    <w:rsid w:val="31023940"/>
    <w:rsid w:val="31205110"/>
    <w:rsid w:val="31FB14F8"/>
    <w:rsid w:val="334F16F8"/>
    <w:rsid w:val="33704C70"/>
    <w:rsid w:val="33C52C0A"/>
    <w:rsid w:val="33F06395"/>
    <w:rsid w:val="34044DFD"/>
    <w:rsid w:val="34900FF9"/>
    <w:rsid w:val="34CF1110"/>
    <w:rsid w:val="35196A7E"/>
    <w:rsid w:val="36943772"/>
    <w:rsid w:val="375226E7"/>
    <w:rsid w:val="38CE206D"/>
    <w:rsid w:val="39C96BFF"/>
    <w:rsid w:val="3A222E5E"/>
    <w:rsid w:val="3A471E4F"/>
    <w:rsid w:val="3A7013CF"/>
    <w:rsid w:val="3C434036"/>
    <w:rsid w:val="3C446687"/>
    <w:rsid w:val="3C90278C"/>
    <w:rsid w:val="3D192B4C"/>
    <w:rsid w:val="3D621238"/>
    <w:rsid w:val="3DF54C0A"/>
    <w:rsid w:val="3E792806"/>
    <w:rsid w:val="3F2B009F"/>
    <w:rsid w:val="404A262C"/>
    <w:rsid w:val="42A966D1"/>
    <w:rsid w:val="44E61F3D"/>
    <w:rsid w:val="4502105C"/>
    <w:rsid w:val="45574CCE"/>
    <w:rsid w:val="46AA1FB7"/>
    <w:rsid w:val="470156F8"/>
    <w:rsid w:val="47332418"/>
    <w:rsid w:val="47C969DF"/>
    <w:rsid w:val="48557AA2"/>
    <w:rsid w:val="49BC3210"/>
    <w:rsid w:val="4AE33AAD"/>
    <w:rsid w:val="4B4A325F"/>
    <w:rsid w:val="4C2D3717"/>
    <w:rsid w:val="4CDB25D9"/>
    <w:rsid w:val="4EBE029C"/>
    <w:rsid w:val="4F462C8B"/>
    <w:rsid w:val="4F6846EE"/>
    <w:rsid w:val="4F820BF4"/>
    <w:rsid w:val="4FAC7D1A"/>
    <w:rsid w:val="510703B1"/>
    <w:rsid w:val="51960585"/>
    <w:rsid w:val="52730469"/>
    <w:rsid w:val="53687E6A"/>
    <w:rsid w:val="536C709D"/>
    <w:rsid w:val="539E23DE"/>
    <w:rsid w:val="53FE70F0"/>
    <w:rsid w:val="546B1C46"/>
    <w:rsid w:val="55142019"/>
    <w:rsid w:val="552A7962"/>
    <w:rsid w:val="56306944"/>
    <w:rsid w:val="56FA70CE"/>
    <w:rsid w:val="57B57A46"/>
    <w:rsid w:val="57E15554"/>
    <w:rsid w:val="581E0CB8"/>
    <w:rsid w:val="5866409B"/>
    <w:rsid w:val="58E943B6"/>
    <w:rsid w:val="598972FD"/>
    <w:rsid w:val="5B8B5E0A"/>
    <w:rsid w:val="5C9C0D05"/>
    <w:rsid w:val="5DD84CB2"/>
    <w:rsid w:val="5E0D0BB0"/>
    <w:rsid w:val="5E3F3775"/>
    <w:rsid w:val="5ED71C61"/>
    <w:rsid w:val="600E764E"/>
    <w:rsid w:val="60854EAC"/>
    <w:rsid w:val="61953E1B"/>
    <w:rsid w:val="62240A1F"/>
    <w:rsid w:val="636924C7"/>
    <w:rsid w:val="63736696"/>
    <w:rsid w:val="65212A85"/>
    <w:rsid w:val="65740174"/>
    <w:rsid w:val="6621476C"/>
    <w:rsid w:val="67267183"/>
    <w:rsid w:val="6A2541C6"/>
    <w:rsid w:val="6CF866E8"/>
    <w:rsid w:val="6E077E33"/>
    <w:rsid w:val="6F423F30"/>
    <w:rsid w:val="759E5B90"/>
    <w:rsid w:val="76C26D09"/>
    <w:rsid w:val="780A6C56"/>
    <w:rsid w:val="78136045"/>
    <w:rsid w:val="7818670C"/>
    <w:rsid w:val="78681947"/>
    <w:rsid w:val="79A65548"/>
    <w:rsid w:val="7A317FAE"/>
    <w:rsid w:val="7A606679"/>
    <w:rsid w:val="7B693F9F"/>
    <w:rsid w:val="7B9701D4"/>
    <w:rsid w:val="7C561A39"/>
    <w:rsid w:val="7D781FD4"/>
    <w:rsid w:val="7DBA7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32"/>
      <w:szCs w:val="32"/>
      <w:lang w:val="zh-CN" w:eastAsia="zh-CN" w:bidi="zh-CN"/>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800080"/>
      <w:u w:val="single"/>
    </w:rPr>
  </w:style>
  <w:style w:type="character" w:styleId="11">
    <w:name w:val="Hyperlink"/>
    <w:basedOn w:val="8"/>
    <w:qFormat/>
    <w:uiPriority w:val="0"/>
    <w:rPr>
      <w:color w:val="0000FF"/>
      <w:u w:val="single"/>
    </w:rPr>
  </w:style>
  <w:style w:type="character" w:customStyle="1" w:styleId="12">
    <w:name w:val="first-child"/>
    <w:basedOn w:val="8"/>
    <w:qFormat/>
    <w:uiPriority w:val="0"/>
  </w:style>
  <w:style w:type="character" w:customStyle="1" w:styleId="13">
    <w:name w:val="layui-this"/>
    <w:basedOn w:val="8"/>
    <w:qFormat/>
    <w:uiPriority w:val="0"/>
    <w:rPr>
      <w:bdr w:val="single" w:color="EEEEEE" w:sz="6" w:space="0"/>
      <w:shd w:val="clear" w:fill="FFFFFF"/>
    </w:rPr>
  </w:style>
  <w:style w:type="character" w:customStyle="1" w:styleId="14">
    <w:name w:val="salary"/>
    <w:basedOn w:val="8"/>
    <w:qFormat/>
    <w:uiPriority w:val="0"/>
    <w:rPr>
      <w:b/>
      <w:bCs/>
      <w:color w:val="FF6666"/>
    </w:rPr>
  </w:style>
  <w:style w:type="character" w:customStyle="1" w:styleId="15">
    <w:name w:val="salary1"/>
    <w:basedOn w:val="8"/>
    <w:qFormat/>
    <w:uiPriority w:val="0"/>
  </w:style>
  <w:style w:type="character" w:customStyle="1" w:styleId="16">
    <w:name w:val="vl"/>
    <w:basedOn w:val="8"/>
    <w:qFormat/>
    <w:uiPriority w:val="0"/>
    <w:rPr>
      <w:color w:val="999999"/>
      <w:sz w:val="18"/>
      <w:szCs w:val="18"/>
    </w:rPr>
  </w:style>
  <w:style w:type="character" w:customStyle="1" w:styleId="17">
    <w:name w:val="pos-name3"/>
    <w:basedOn w:val="8"/>
    <w:qFormat/>
    <w:uiPriority w:val="0"/>
    <w:rPr>
      <w:color w:val="195BD4"/>
      <w:sz w:val="27"/>
      <w:szCs w:val="27"/>
    </w:rPr>
  </w:style>
  <w:style w:type="character" w:customStyle="1" w:styleId="18">
    <w:name w:val="font131"/>
    <w:basedOn w:val="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2021-07-08T08:30:00Z</dcterms:created>
  <dc:creator>Administrator</dc:creator>
  <cp:lastModifiedBy>咖啡色</cp:lastModifiedBy>
  <cp:lastPrinted>2021-08-04T08:00:00Z</cp:lastPrinted>
  <dcterms:modified xsi:type="dcterms:W3CDTF">2022-01-21T08:40:15Z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D51F882A3E7047A4875A5F21ABF06615</vt:lpwstr>
  </property>
</Properties>
</file>