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cstheme="minorEastAsia"/>
          <w:sz w:val="30"/>
          <w:szCs w:val="30"/>
        </w:rPr>
      </w:pPr>
      <w:r>
        <w:rPr>
          <w:rFonts w:hint="eastAsia" w:asciiTheme="minorEastAsia" w:hAnsiTheme="minorEastAsia" w:cstheme="minorEastAsia"/>
          <w:sz w:val="30"/>
          <w:szCs w:val="30"/>
        </w:rPr>
        <w:t>附件1：</w:t>
      </w:r>
    </w:p>
    <w:p>
      <w:pPr>
        <w:jc w:val="left"/>
        <w:rPr>
          <w:rFonts w:asciiTheme="minorEastAsia" w:hAnsiTheme="minorEastAsia" w:cstheme="minorEastAsia"/>
          <w:sz w:val="30"/>
          <w:szCs w:val="30"/>
        </w:rPr>
      </w:pPr>
    </w:p>
    <w:tbl>
      <w:tblPr>
        <w:tblStyle w:val="2"/>
        <w:tblpPr w:leftFromText="180" w:rightFromText="180" w:vertAnchor="text" w:horzAnchor="page" w:tblpX="1410" w:tblpY="206"/>
        <w:tblOverlap w:val="never"/>
        <w:tblW w:w="9513" w:type="dxa"/>
        <w:tblInd w:w="0" w:type="dxa"/>
        <w:tblLayout w:type="fixed"/>
        <w:tblCellMar>
          <w:top w:w="0" w:type="dxa"/>
          <w:left w:w="108" w:type="dxa"/>
          <w:bottom w:w="0" w:type="dxa"/>
          <w:right w:w="108" w:type="dxa"/>
        </w:tblCellMar>
      </w:tblPr>
      <w:tblGrid>
        <w:gridCol w:w="1858"/>
        <w:gridCol w:w="1269"/>
        <w:gridCol w:w="3283"/>
        <w:gridCol w:w="884"/>
        <w:gridCol w:w="1311"/>
        <w:gridCol w:w="908"/>
      </w:tblGrid>
      <w:tr>
        <w:tblPrEx>
          <w:tblCellMar>
            <w:top w:w="0" w:type="dxa"/>
            <w:left w:w="108" w:type="dxa"/>
            <w:bottom w:w="0" w:type="dxa"/>
            <w:right w:w="108" w:type="dxa"/>
          </w:tblCellMar>
        </w:tblPrEx>
        <w:trPr>
          <w:trHeight w:val="799" w:hRule="atLeast"/>
        </w:trPr>
        <w:tc>
          <w:tcPr>
            <w:tcW w:w="951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30"/>
                <w:szCs w:val="30"/>
              </w:rPr>
            </w:pPr>
            <w:r>
              <w:rPr>
                <w:rFonts w:hint="eastAsia" w:ascii="宋体" w:hAnsi="宋体" w:eastAsia="宋体" w:cs="宋体"/>
                <w:b/>
                <w:bCs/>
                <w:kern w:val="0"/>
                <w:sz w:val="30"/>
                <w:szCs w:val="30"/>
              </w:rPr>
              <w:t>苍南县国投保安服务有限公司面向社会公开招聘劳务外包人员计划表</w:t>
            </w:r>
          </w:p>
        </w:tc>
      </w:tr>
      <w:tr>
        <w:tblPrEx>
          <w:tblCellMar>
            <w:top w:w="0" w:type="dxa"/>
            <w:left w:w="108" w:type="dxa"/>
            <w:bottom w:w="0" w:type="dxa"/>
            <w:right w:w="108" w:type="dxa"/>
          </w:tblCellMar>
        </w:tblPrEx>
        <w:trPr>
          <w:trHeight w:val="630"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企业名称</w:t>
            </w:r>
          </w:p>
        </w:tc>
        <w:tc>
          <w:tcPr>
            <w:tcW w:w="12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职位名称</w:t>
            </w:r>
          </w:p>
        </w:tc>
        <w:tc>
          <w:tcPr>
            <w:tcW w:w="32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职位要求</w:t>
            </w:r>
          </w:p>
        </w:tc>
        <w:tc>
          <w:tcPr>
            <w:tcW w:w="8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招聘</w:t>
            </w: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人数</w:t>
            </w:r>
          </w:p>
        </w:tc>
        <w:tc>
          <w:tcPr>
            <w:tcW w:w="1311"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学历/职称</w:t>
            </w:r>
          </w:p>
        </w:tc>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年薪</w:t>
            </w:r>
          </w:p>
        </w:tc>
      </w:tr>
      <w:tr>
        <w:tblPrEx>
          <w:tblCellMar>
            <w:top w:w="0" w:type="dxa"/>
            <w:left w:w="108" w:type="dxa"/>
            <w:bottom w:w="0" w:type="dxa"/>
            <w:right w:w="108" w:type="dxa"/>
          </w:tblCellMar>
        </w:tblPrEx>
        <w:trPr>
          <w:trHeight w:val="1708" w:hRule="atLeast"/>
        </w:trPr>
        <w:tc>
          <w:tcPr>
            <w:tcW w:w="1858" w:type="dxa"/>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ascii="宋体" w:hAnsi="宋体" w:eastAsia="宋体" w:cs="宋体"/>
                <w:kern w:val="0"/>
                <w:sz w:val="24"/>
                <w:szCs w:val="24"/>
              </w:rPr>
              <w:t>苍南县国</w:t>
            </w:r>
            <w:r>
              <w:rPr>
                <w:rFonts w:hint="eastAsia" w:ascii="宋体" w:hAnsi="宋体" w:eastAsia="宋体" w:cs="宋体"/>
                <w:kern w:val="0"/>
                <w:sz w:val="24"/>
                <w:szCs w:val="24"/>
                <w:lang w:eastAsia="zh-CN"/>
              </w:rPr>
              <w:t>有资产投资集团有限公司</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工程管理人员</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土木建筑工程类专业（含工程管理、工程造价、土建施工等），35周岁以下，性别不限，有工程管理经验或相关职称者优先</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大专及以上学历</w:t>
            </w:r>
          </w:p>
        </w:tc>
        <w:tc>
          <w:tcPr>
            <w:tcW w:w="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color w:val="auto"/>
                <w:kern w:val="0"/>
                <w:sz w:val="24"/>
                <w:szCs w:val="24"/>
              </w:rPr>
              <w:t>薪酬待遇面谈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942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2022-01-06T03:14:30Z</dcterms:created>
  <dc:creator>Administrator</dc:creator>
  <cp:lastModifiedBy>WPS_1501254026</cp:lastModifiedBy>
  <dcterms:modified xsi:type="dcterms:W3CDTF">2022-01-06T03:14:43Z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7C5EC0CF1F4D414BAA419A3DA7784F8A</vt:lpwstr>
  </property>
</Properties>
</file>