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黑体" w:eastAsia="方正小标宋简体" w:cs="方正小标宋_GBK"/>
          <w:color w:val="00000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  <w:lang w:eastAsia="zh-CN"/>
        </w:rPr>
        <w:t>江西吉湖发展集团有限公司</w:t>
      </w: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  <w:lang w:val="en-US" w:eastAsia="zh-CN"/>
        </w:rPr>
        <w:t>及子公司</w:t>
      </w:r>
      <w:r>
        <w:rPr>
          <w:rFonts w:hint="eastAsia" w:ascii="仿宋" w:hAnsi="仿宋" w:eastAsia="仿宋" w:cs="仿宋_GB2312"/>
          <w:b/>
          <w:bCs/>
          <w:color w:val="000000"/>
          <w:sz w:val="28"/>
          <w:szCs w:val="28"/>
        </w:rPr>
        <w:t>招聘岗位及任职要求》</w:t>
      </w:r>
    </w:p>
    <w:bookmarkEnd w:id="0"/>
    <w:tbl>
      <w:tblPr>
        <w:tblStyle w:val="3"/>
        <w:tblW w:w="100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55"/>
        <w:gridCol w:w="765"/>
        <w:gridCol w:w="660"/>
        <w:gridCol w:w="5356"/>
        <w:gridCol w:w="825"/>
        <w:gridCol w:w="8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5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职级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薪酬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人力行政中心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行政主管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1.年龄30-40岁，大专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以上学历，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两年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以上公司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行政主管工作经验；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2.具备一定的解决问题的能力，情商较高，能够处理复杂行政事务，热爱行政工作，能完成日常后勤管理、公文写作和接待工作，具有较强抗压能力和应变能力；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3.形象岗，沟通、团队协作较好，有服务意识，工作具有条理性。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4-5K/月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年龄22-3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岁，身高1.62米及以上，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或中专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以上前台工作经验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三星级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以上酒店从业经历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者可适当放宽条件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普通话标准，善于与人沟通交流，熟悉商务礼仪和接待流程，有良好的应变能力；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形象甜美端庄，性格稳重温和，有较强服务意识。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专员级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3K起/月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7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</w:p>
        </w:tc>
        <w:tc>
          <w:tcPr>
            <w:tcW w:w="8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年龄25-40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岁，大专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以上学历，具有2-3年及以上会计岗位工作经验，具有初级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以上会计职称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熟悉会计法和税法及相关政策，熟练运用Excel、Word等办公软件以及金蝶等财务软件；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具有强烈的责任感，思路清晰，有较强的组织、沟通协调能力，有良好的职业道德和职业操守。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4-6K/月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7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Hans" w:bidi="ar"/>
              </w:rPr>
              <w:t>出纳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1.年龄35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以下，大专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以上学历，有一般纳税人公司出纳工作经验，具有初级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以上会计职称者可适当放宽条件；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2.熟悉会计法和税法及相关政策，熟练运用Excel、Word等办公软件，熟悉财务处理程序；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3.具有强烈的责任感，思路清晰，有较强的组织、沟通协调能力，有良好的职业道德和职业操守。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专员级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3K起/月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战略投资中心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战投经理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年龄30-4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岁，本科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以上学历，专业不限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具有三年及以上投资公司或金融行业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主管级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岗位工作经验，有独立完成投资项目的成功案例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相关职业证书者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可适当放宽条件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熟悉投资、金融行业操作流程，具备项目投资、项目管理知识，熟悉国家宏观经济环境，有一定行业人脉，熟悉政务文化；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工作积极主动，善于整合资源，具备优秀的分析判断和抗压能力。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经理级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风险控制中心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风控经理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年龄30-4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以上学历，法律、金融类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财务审计类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以上集团公司、投资公司或金融类行业同等岗位工作经验，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有律师资格证者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可适当放宽条件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Hans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特别优秀者可放宽年龄要求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（可接受退休返聘）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精通民商法律法规与实务操作，具有丰富的法律工作经验，较强的分析和逻辑思维能力，具有良好的沟通能力及风险管理能力；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工作积极主动，有较强的责任心，能承受一定的工作压力，具备良好的职业素养和风险意识。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经理级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8-10K/月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法务主管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-40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岁，本科及以上学历，法学类相关专业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务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事务工作经验，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通过司法考试者可适当放宽条件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熟练掌握并能运用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民法典、公司法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，熟悉公司并购、资产重组和融资的流程及法律运作，有一定的争议解决能力，熟悉诉讼和仲裁程序，具备良好的沟通能力和谈判技巧；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工作积极主动，能承受一定的工作压力，具有团结协作精神和较强的逻辑思维能力，条理清晰，严谨。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工程项目中心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园林绿化工程师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年龄30-4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以上学历，工程类、园林绿化相关专业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具有五年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以上物业公司园林绿化工作经验，有园林绿化工程建设管理经验者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可适当放宽条件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负责绿化养护工作，拥有现场组织能力，能够组织施工工人现场审图、苗木搭配等，能处理施工中出现的问题，熟悉园林绿化施工流程，具有一定的组织和协调沟通能力；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品行端正有责任心，工作积极主动，能吃苦耐劳，具有团队合作精神。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经理级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6-8K/月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吉湖资产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子公司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年龄30-4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岁，本科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以上学历，财会或经济管理类专业，三年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以上资产管理经理工作经验，丰富的财务相关工作经验，需持有中级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会计师职称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具有国有资产管理、并购、收购项目工作经历，成本意识和数据分析能力强悍，具备日常的财务账务处理、税务、民商法律知识，有较强的沟通和团队管理能力；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具有很强的抗压能力和责任心，能适应高压工作状态，且有较强责任心和领导能力，思维活跃。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副总级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10-12K/月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资产经理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年龄30-4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岁，本科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以上学历，财会或经济管理类专业，三年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以上物业或资产公司管理运营工作经验；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具备资产经营管理实操能力，思维活跃，反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敏捷，对产权知识、会计知识、法律常识有一定了解，具备优秀的谈判能力；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具有较强的抗压能力和责任心，工作积极主动，具有团队合作精神和较强的执行力。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经理级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6-8K/月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物业经理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Hans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年龄30-4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，本科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以上学历，不限专业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三年以上物业公司管理运营工作经验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有文旅物业管理工作经验者可适当放宽条件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Hans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熟悉物业管理操作流程且掌握物业管理相关法律，能组织协调开展物业管理工作，提升项目品牌度；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具有较强的抗压能力和执行力，有较强责任心，为人正派，有较强的沟通协调能力和应变能力。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经理级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6-8K/月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招商经理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-40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大专及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以上学历，经济管理、市场营销等相关专业，三年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以上同等职位工作经验；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熟悉招商操作流程且了解相关政策法律，具有筹备期及营运期招商营运管理经营，提升项目品牌度；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具有较强的抗压能力和执行力，有较强责任心，为人正派，有较强的沟通协调能力和应变能力。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经理级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6-8K/月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吉湖建筑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子公司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1.年龄50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以下，大专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以上学历，工程类专业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2.有两年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以上建筑施工行业工作经验，须持有安全员证，具备一建或二建等建筑行业职业资格优先考虑；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负责工程项目的安全管理工作，了解安全生产的流程和相关规定，熟悉安全生产技术的指标和实施，有较强的组织和协调沟通能力；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具有一定的抗压能力和责任心，工作积极主动，具有团队合作精神和较强的执行力。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5-8K/月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1.年龄40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以下，大专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以上学历，工程类专业</w:t>
            </w: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2.两年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以上本工作或相关行业工作经验，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熟悉PS软件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持有资料员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或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二建等证书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Hans" w:bidi="ar"/>
              </w:rPr>
              <w:t>可适当放宽条件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负责工程项目的资料档案管理，了解建筑企业资质管理；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性格活泼开朗，工作积极主动，具有团队合作精神和较强的执行力。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主管级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4K-5K/月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吉湖新能源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子公司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）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项目专员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以下，大专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Hans" w:bidi="ar"/>
              </w:rPr>
              <w:t>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以上学历，不限专业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有一定的公文写作能力，负责文件资料、合同等的管理和材料编写等工作；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eastAsia="zh-CN" w:bidi="ar"/>
              </w:rPr>
              <w:t>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>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有较强的执行、表达和沟通能力，具备团队协作精神。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3K起/月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注：</w:t>
      </w:r>
      <w:r>
        <w:rPr>
          <w:rFonts w:hint="eastAsia" w:ascii="宋体" w:hAnsi="宋体" w:eastAsia="宋体"/>
          <w:color w:val="auto"/>
          <w:sz w:val="24"/>
          <w:szCs w:val="24"/>
        </w:rPr>
        <w:t>年龄及资历计算截止时间为2021年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color w:val="auto"/>
          <w:sz w:val="24"/>
          <w:szCs w:val="24"/>
          <w:lang w:eastAsia="zh-CN"/>
        </w:rPr>
        <w:t>1日，</w:t>
      </w:r>
      <w:r>
        <w:rPr>
          <w:rFonts w:hint="eastAsia" w:ascii="宋体" w:hAnsi="宋体" w:eastAsia="宋体"/>
          <w:color w:val="auto"/>
          <w:sz w:val="24"/>
          <w:szCs w:val="24"/>
          <w:lang w:val="en-US" w:eastAsia="zh-CN"/>
        </w:rPr>
        <w:t>特别优秀者经研究决定可适当放宽条件。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00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886DB"/>
    <w:multiLevelType w:val="singleLevel"/>
    <w:tmpl w:val="61A886D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95EF3"/>
    <w:rsid w:val="39A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2021-12-16T09:31:00Z</dcterms:created>
  <dc:creator>陶卫平</dc:creator>
  <cp:lastModifiedBy>陶卫平</cp:lastModifiedBy>
  <dcterms:modified xsi:type="dcterms:W3CDTF">2021-12-16T09:32:11Z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EA4B964695624CEDB42FE9291C394E3D</vt:lpwstr>
  </property>
</Properties>
</file>