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金华市机关事务管理局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公开选调干部考察量化评分标准</w:t>
      </w:r>
      <w:bookmarkEnd w:id="0"/>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（财务岗位）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考察分由考察组评价和考察量化评分两部分组成，分别占比50%。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一、考察组评价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考察组评价由考察组每个成员根据考察情况对考察对象进行独立评分（实行百分制），取平均分后核定。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二、考察量化评分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考察量化评分包含计分项和减分项2个部分。其中考察量化计分项包括</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个部分，即考察对象的</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经历、表彰奖励、成果发表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年度考核、考勤情况，分别按照</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0%、20%、20%、10%</w:t>
      </w:r>
      <w:r>
        <w:rPr>
          <w:rFonts w:hint="default" w:ascii="Times New Roman" w:hAnsi="Times New Roman" w:eastAsia="仿宋_GB2312" w:cs="Times New Roman"/>
          <w:sz w:val="32"/>
          <w:szCs w:val="32"/>
        </w:rPr>
        <w:t>的比例计算考察对象的量化分值。考察对象的考察量化分数为计分项减去减分项之后所得分数。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（一）计分项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000000" w:themeColor="text1"/>
          <w:sz w:val="32"/>
          <w:szCs w:val="32"/>
          <w14:textFill>
            <w14:solidFill>
              <w14:schemeClr w14:val="tx1"/>
            </w14:solidFill>
          </w14:textFill>
        </w:rPr>
        <w:t>1.</w:t>
      </w:r>
      <w:r>
        <w:rPr>
          <w:rFonts w:hint="default" w:ascii="Times New Roman" w:hAnsi="Times New Roman" w:eastAsia="楷体_GB2312" w:cs="Times New Roman"/>
          <w:color w:val="000000" w:themeColor="text1"/>
          <w:sz w:val="32"/>
          <w:szCs w:val="32"/>
          <w:shd w:val="clear" w:color="auto" w:fill="auto"/>
          <w:lang w:eastAsia="zh-CN"/>
          <w14:textFill>
            <w14:solidFill>
              <w14:schemeClr w14:val="tx1"/>
            </w14:solidFill>
          </w14:textFill>
        </w:rPr>
        <w:t>工作经历（</w:t>
      </w:r>
      <w:r>
        <w:rPr>
          <w:rFonts w:hint="eastAsia" w:ascii="Times New Roman" w:hAnsi="Times New Roman" w:eastAsia="楷体_GB2312" w:cs="Times New Roman"/>
          <w:color w:val="000000" w:themeColor="text1"/>
          <w:sz w:val="32"/>
          <w:szCs w:val="32"/>
          <w:shd w:val="clear" w:color="auto" w:fill="auto"/>
          <w:lang w:val="en-US" w:eastAsia="zh-CN"/>
          <w14:textFill>
            <w14:solidFill>
              <w14:schemeClr w14:val="tx1"/>
            </w14:solidFill>
          </w14:textFill>
        </w:rPr>
        <w:t>3</w:t>
      </w:r>
      <w:r>
        <w:rPr>
          <w:rFonts w:hint="default" w:ascii="Times New Roman" w:hAnsi="Times New Roman" w:eastAsia="楷体_GB2312" w:cs="Times New Roman"/>
          <w:color w:val="000000" w:themeColor="text1"/>
          <w:sz w:val="32"/>
          <w:szCs w:val="32"/>
          <w:shd w:val="clear" w:color="auto" w:fill="auto"/>
          <w:lang w:val="en-US" w:eastAsia="zh-CN"/>
          <w14:textFill>
            <w14:solidFill>
              <w14:schemeClr w14:val="tx1"/>
            </w14:solidFill>
          </w14:textFill>
        </w:rPr>
        <w:t>0分</w:t>
      </w:r>
      <w:r>
        <w:rPr>
          <w:rFonts w:hint="default" w:ascii="Times New Roman" w:hAnsi="Times New Roman" w:eastAsia="楷体_GB2312" w:cs="Times New Roman"/>
          <w:color w:val="000000" w:themeColor="text1"/>
          <w:sz w:val="32"/>
          <w:szCs w:val="32"/>
          <w:shd w:val="clear" w:color="auto" w:fill="auto"/>
          <w:lang w:eastAsia="zh-CN"/>
          <w14:textFill>
            <w14:solidFill>
              <w14:schemeClr w14:val="tx1"/>
            </w14:solidFill>
          </w14:textFill>
        </w:rPr>
        <w:t>）。</w:t>
      </w:r>
      <w:r>
        <w:rPr>
          <w:rFonts w:hint="eastAsia" w:ascii="Times New Roman" w:hAnsi="Times New Roman" w:eastAsia="仿宋_GB2312" w:cs="Times New Roman"/>
          <w:color w:val="auto"/>
          <w:sz w:val="32"/>
          <w:szCs w:val="32"/>
          <w:shd w:val="clear" w:color="auto" w:fill="auto"/>
          <w:lang w:val="en-US" w:eastAsia="zh-CN"/>
        </w:rPr>
        <w:t>有</w:t>
      </w:r>
      <w:r>
        <w:rPr>
          <w:rFonts w:hint="default" w:ascii="Times New Roman" w:hAnsi="Times New Roman" w:eastAsia="仿宋_GB2312" w:cs="Times New Roman"/>
          <w:color w:val="auto"/>
          <w:sz w:val="32"/>
          <w:szCs w:val="32"/>
          <w:shd w:val="clear" w:color="auto" w:fill="auto"/>
          <w:lang w:val="en-US" w:eastAsia="zh-CN"/>
        </w:rPr>
        <w:t>会计</w:t>
      </w:r>
      <w:r>
        <w:rPr>
          <w:rFonts w:hint="eastAsia" w:ascii="Times New Roman" w:hAnsi="Times New Roman" w:eastAsia="仿宋_GB2312" w:cs="Times New Roman"/>
          <w:color w:val="auto"/>
          <w:sz w:val="32"/>
          <w:szCs w:val="32"/>
          <w:shd w:val="clear" w:color="auto" w:fill="auto"/>
          <w:lang w:val="en-US" w:eastAsia="zh-CN"/>
        </w:rPr>
        <w:t>师</w:t>
      </w:r>
      <w:r>
        <w:rPr>
          <w:rFonts w:hint="default" w:ascii="Times New Roman" w:hAnsi="Times New Roman" w:eastAsia="仿宋_GB2312" w:cs="Times New Roman"/>
          <w:color w:val="auto"/>
          <w:sz w:val="32"/>
          <w:szCs w:val="32"/>
          <w:shd w:val="clear" w:color="auto" w:fill="auto"/>
          <w:lang w:val="en-US" w:eastAsia="zh-CN"/>
        </w:rPr>
        <w:t>事务所</w:t>
      </w:r>
      <w:r>
        <w:rPr>
          <w:rFonts w:hint="eastAsia" w:ascii="Times New Roman" w:hAnsi="Times New Roman" w:eastAsia="仿宋_GB2312" w:cs="Times New Roman"/>
          <w:color w:val="auto"/>
          <w:sz w:val="32"/>
          <w:szCs w:val="32"/>
          <w:shd w:val="clear" w:color="auto" w:fill="auto"/>
          <w:lang w:val="en-US" w:eastAsia="zh-CN"/>
        </w:rPr>
        <w:t>工作</w:t>
      </w:r>
      <w:r>
        <w:rPr>
          <w:rFonts w:hint="default" w:ascii="Times New Roman" w:hAnsi="Times New Roman" w:eastAsia="仿宋_GB2312" w:cs="Times New Roman"/>
          <w:color w:val="auto"/>
          <w:sz w:val="32"/>
          <w:szCs w:val="32"/>
          <w:shd w:val="clear" w:color="auto" w:fill="auto"/>
          <w:lang w:val="en-US" w:eastAsia="zh-CN"/>
        </w:rPr>
        <w:t>经历2年以上的</w:t>
      </w:r>
      <w:r>
        <w:rPr>
          <w:rFonts w:hint="eastAsia" w:ascii="Times New Roman" w:hAnsi="Times New Roman" w:eastAsia="仿宋_GB2312" w:cs="Times New Roman"/>
          <w:color w:val="auto"/>
          <w:sz w:val="32"/>
          <w:szCs w:val="32"/>
          <w:shd w:val="clear" w:color="auto" w:fill="auto"/>
          <w:lang w:val="en-US" w:eastAsia="zh-CN"/>
        </w:rPr>
        <w:t>或者</w:t>
      </w:r>
      <w:r>
        <w:rPr>
          <w:rFonts w:hint="default" w:ascii="Times New Roman" w:hAnsi="Times New Roman" w:eastAsia="仿宋_GB2312" w:cs="Times New Roman"/>
          <w:color w:val="auto"/>
          <w:sz w:val="32"/>
          <w:szCs w:val="32"/>
          <w:shd w:val="clear" w:color="auto" w:fill="auto"/>
          <w:lang w:val="en-US" w:eastAsia="zh-CN"/>
        </w:rPr>
        <w:t>参与过审计项目</w:t>
      </w:r>
      <w:r>
        <w:rPr>
          <w:rFonts w:hint="eastAsia" w:ascii="Times New Roman" w:hAnsi="Times New Roman" w:eastAsia="仿宋_GB2312" w:cs="Times New Roman"/>
          <w:color w:val="auto"/>
          <w:sz w:val="32"/>
          <w:szCs w:val="32"/>
          <w:shd w:val="clear" w:color="auto" w:fill="auto"/>
          <w:lang w:val="en-US" w:eastAsia="zh-CN"/>
        </w:rPr>
        <w:t>2个以上的计</w:t>
      </w:r>
      <w:r>
        <w:rPr>
          <w:rFonts w:hint="default" w:ascii="Times New Roman" w:hAnsi="Times New Roman" w:eastAsia="仿宋_GB2312" w:cs="Times New Roman"/>
          <w:color w:val="auto"/>
          <w:sz w:val="32"/>
          <w:szCs w:val="32"/>
          <w:shd w:val="clear" w:color="auto" w:fill="auto"/>
          <w:lang w:val="en-US" w:eastAsia="zh-CN"/>
        </w:rPr>
        <w:t>10分</w:t>
      </w:r>
      <w:r>
        <w:rPr>
          <w:rFonts w:hint="eastAsia" w:ascii="Times New Roman" w:hAnsi="Times New Roman" w:eastAsia="仿宋_GB2312" w:cs="Times New Roman"/>
          <w:color w:val="auto"/>
          <w:sz w:val="32"/>
          <w:szCs w:val="32"/>
          <w:shd w:val="clear" w:color="auto" w:fill="auto"/>
          <w:lang w:val="en-US" w:eastAsia="zh-CN"/>
        </w:rPr>
        <w:t>。其中，曾担任过2个以上项目主审人员的，加10分。</w:t>
      </w:r>
      <w:r>
        <w:rPr>
          <w:rFonts w:hint="default" w:ascii="Times New Roman" w:hAnsi="Times New Roman" w:eastAsia="仿宋_GB2312" w:cs="Times New Roman"/>
          <w:color w:val="auto"/>
          <w:sz w:val="32"/>
          <w:szCs w:val="32"/>
          <w:shd w:val="clear" w:color="auto" w:fill="auto"/>
          <w:lang w:val="en-US" w:eastAsia="zh-CN"/>
        </w:rPr>
        <w:t>每增加1年</w:t>
      </w:r>
      <w:r>
        <w:rPr>
          <w:rFonts w:hint="eastAsia" w:ascii="Times New Roman" w:hAnsi="Times New Roman" w:eastAsia="仿宋_GB2312" w:cs="Times New Roman"/>
          <w:color w:val="auto"/>
          <w:sz w:val="32"/>
          <w:szCs w:val="32"/>
          <w:shd w:val="clear" w:color="auto" w:fill="auto"/>
          <w:lang w:val="en-US" w:eastAsia="zh-CN"/>
        </w:rPr>
        <w:t>工作经历（或参与1个审计项目的）</w:t>
      </w:r>
      <w:r>
        <w:rPr>
          <w:rFonts w:hint="default" w:ascii="Times New Roman" w:hAnsi="Times New Roman" w:eastAsia="仿宋_GB2312" w:cs="Times New Roman"/>
          <w:color w:val="auto"/>
          <w:sz w:val="32"/>
          <w:szCs w:val="32"/>
          <w:shd w:val="clear" w:color="auto" w:fill="auto"/>
          <w:lang w:val="en-US" w:eastAsia="zh-CN"/>
        </w:rPr>
        <w:t>加2分，加分10分封顶。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default" w:ascii="Times New Roman" w:hAnsi="Times New Roman" w:eastAsia="楷体_GB2312" w:cs="Times New Roman"/>
          <w:color w:val="auto"/>
          <w:sz w:val="32"/>
          <w:szCs w:val="32"/>
        </w:rPr>
        <w:t>表彰奖励（</w:t>
      </w:r>
      <w:r>
        <w:rPr>
          <w:rFonts w:hint="eastAsia" w:ascii="Times New Roman" w:hAnsi="Times New Roman" w:eastAsia="楷体_GB2312" w:cs="Times New Roman"/>
          <w:color w:val="auto"/>
          <w:sz w:val="32"/>
          <w:szCs w:val="32"/>
          <w:lang w:val="en-US" w:eastAsia="zh-CN"/>
        </w:rPr>
        <w:t>2</w:t>
      </w:r>
      <w:r>
        <w:rPr>
          <w:rFonts w:hint="default" w:ascii="Times New Roman" w:hAnsi="Times New Roman" w:eastAsia="楷体_GB2312" w:cs="Times New Roman"/>
          <w:color w:val="auto"/>
          <w:sz w:val="32"/>
          <w:szCs w:val="32"/>
          <w:lang w:val="en-US" w:eastAsia="zh-CN"/>
        </w:rPr>
        <w:t>0</w:t>
      </w:r>
      <w:r>
        <w:rPr>
          <w:rFonts w:hint="default" w:ascii="Times New Roman" w:hAnsi="Times New Roman" w:eastAsia="楷体_GB2312" w:cs="Times New Roman"/>
          <w:color w:val="auto"/>
          <w:sz w:val="32"/>
          <w:szCs w:val="32"/>
        </w:rPr>
        <w:t>分）。</w:t>
      </w:r>
      <w:r>
        <w:rPr>
          <w:rFonts w:hint="default" w:ascii="Times New Roman" w:hAnsi="Times New Roman" w:eastAsia="仿宋_GB2312" w:cs="Times New Roman"/>
          <w:color w:val="auto"/>
          <w:sz w:val="32"/>
          <w:szCs w:val="32"/>
          <w:lang w:eastAsia="zh-CN"/>
        </w:rPr>
        <w:t>仅就个人参加工作后获得的专业性荣誉评定。</w:t>
      </w:r>
      <w:r>
        <w:rPr>
          <w:rFonts w:hint="default" w:ascii="Times New Roman" w:hAnsi="Times New Roman" w:eastAsia="仿宋_GB2312" w:cs="Times New Roman"/>
          <w:color w:val="auto"/>
          <w:sz w:val="32"/>
          <w:szCs w:val="32"/>
          <w:lang w:val="en-US" w:eastAsia="zh-CN"/>
        </w:rPr>
        <w:t>由其牵头（</w:t>
      </w:r>
      <w:r>
        <w:rPr>
          <w:rFonts w:hint="eastAsia" w:ascii="Times New Roman" w:hAnsi="Times New Roman" w:eastAsia="仿宋_GB2312" w:cs="Times New Roman"/>
          <w:color w:val="auto"/>
          <w:sz w:val="32"/>
          <w:szCs w:val="32"/>
          <w:lang w:val="en-US" w:eastAsia="zh-CN"/>
        </w:rPr>
        <w:t>或</w:t>
      </w:r>
      <w:r>
        <w:rPr>
          <w:rFonts w:hint="default" w:ascii="Times New Roman" w:hAnsi="Times New Roman" w:eastAsia="仿宋_GB2312" w:cs="Times New Roman"/>
          <w:color w:val="auto"/>
          <w:sz w:val="32"/>
          <w:szCs w:val="32"/>
          <w:lang w:val="en-US" w:eastAsia="zh-CN"/>
        </w:rPr>
        <w:t>参与）的审计项目或</w:t>
      </w:r>
      <w:r>
        <w:rPr>
          <w:rFonts w:hint="eastAsia" w:ascii="Times New Roman" w:hAnsi="Times New Roman" w:eastAsia="仿宋_GB2312" w:cs="Times New Roman"/>
          <w:color w:val="auto"/>
          <w:sz w:val="32"/>
          <w:szCs w:val="32"/>
          <w:lang w:val="en-US" w:eastAsia="zh-CN"/>
        </w:rPr>
        <w:t>撰写的</w:t>
      </w:r>
      <w:r>
        <w:rPr>
          <w:rFonts w:hint="default" w:ascii="Times New Roman" w:hAnsi="Times New Roman" w:eastAsia="仿宋_GB2312" w:cs="Times New Roman"/>
          <w:color w:val="auto"/>
          <w:sz w:val="32"/>
          <w:szCs w:val="32"/>
          <w:lang w:val="en-US" w:eastAsia="zh-CN"/>
        </w:rPr>
        <w:t>专业性理论研究成果获得国家级荣誉的，</w:t>
      </w:r>
      <w:r>
        <w:rPr>
          <w:rFonts w:hint="default" w:ascii="Times New Roman" w:hAnsi="Times New Roman" w:eastAsia="仿宋_GB2312" w:cs="Times New Roman"/>
          <w:color w:val="auto"/>
          <w:sz w:val="32"/>
          <w:szCs w:val="32"/>
          <w:lang w:eastAsia="zh-CN"/>
        </w:rPr>
        <w:t>计</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eastAsia="zh-CN"/>
        </w:rPr>
        <w:t>分；获得省级荣誉的，计</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分；获得市级荣誉的，计</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分。以证书发放（评定）机关的级别确定荣誉的层次，考察对象</w:t>
      </w:r>
      <w:r>
        <w:rPr>
          <w:rFonts w:hint="eastAsia" w:ascii="Times New Roman" w:hAnsi="Times New Roman" w:eastAsia="仿宋_GB2312" w:cs="Times New Roman"/>
          <w:color w:val="auto"/>
          <w:sz w:val="32"/>
          <w:szCs w:val="32"/>
          <w:lang w:eastAsia="zh-CN"/>
        </w:rPr>
        <w:t>同一篇研究成果</w:t>
      </w:r>
      <w:r>
        <w:rPr>
          <w:rFonts w:hint="default" w:ascii="Times New Roman" w:hAnsi="Times New Roman" w:eastAsia="仿宋_GB2312" w:cs="Times New Roman"/>
          <w:color w:val="auto"/>
          <w:sz w:val="32"/>
          <w:szCs w:val="32"/>
          <w:lang w:eastAsia="zh-CN"/>
        </w:rPr>
        <w:t>获得不同级别荣誉的以最高层次一次性计分，不重复累积</w:t>
      </w:r>
      <w:r>
        <w:rPr>
          <w:rFonts w:hint="eastAsia" w:ascii="Times New Roman" w:hAnsi="Times New Roman" w:eastAsia="仿宋_GB2312" w:cs="Times New Roman"/>
          <w:color w:val="auto"/>
          <w:sz w:val="32"/>
          <w:szCs w:val="32"/>
          <w:lang w:eastAsia="zh-CN"/>
        </w:rPr>
        <w:t>计</w:t>
      </w:r>
      <w:r>
        <w:rPr>
          <w:rFonts w:hint="default" w:ascii="Times New Roman" w:hAnsi="Times New Roman" w:eastAsia="仿宋_GB2312" w:cs="Times New Roman"/>
          <w:color w:val="auto"/>
          <w:sz w:val="32"/>
          <w:szCs w:val="32"/>
          <w:lang w:eastAsia="zh-CN"/>
        </w:rPr>
        <w:t>分。此项最高不超过</w:t>
      </w:r>
      <w:r>
        <w:rPr>
          <w:rFonts w:hint="eastAsia"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lang w:val="en-US" w:eastAsia="zh-CN"/>
        </w:rPr>
        <w:t>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3.</w:t>
      </w:r>
      <w:r>
        <w:rPr>
          <w:rFonts w:hint="eastAsia" w:ascii="Times New Roman" w:hAnsi="Times New Roman" w:eastAsia="楷体_GB2312" w:cs="Times New Roman"/>
          <w:color w:val="auto"/>
          <w:sz w:val="32"/>
          <w:szCs w:val="32"/>
          <w:lang w:val="en-US" w:eastAsia="zh-CN"/>
        </w:rPr>
        <w:t>成果发表</w:t>
      </w:r>
      <w:r>
        <w:rPr>
          <w:rFonts w:hint="default" w:ascii="Times New Roman" w:hAnsi="Times New Roman" w:eastAsia="楷体_GB2312" w:cs="Times New Roman"/>
          <w:color w:val="auto"/>
          <w:sz w:val="32"/>
          <w:szCs w:val="32"/>
          <w:lang w:val="en-US" w:eastAsia="zh-CN"/>
        </w:rPr>
        <w:t>（20分）</w:t>
      </w:r>
      <w:r>
        <w:rPr>
          <w:rFonts w:hint="default" w:ascii="Times New Roman" w:hAnsi="Times New Roman" w:eastAsia="仿宋_GB2312" w:cs="Times New Roman"/>
          <w:color w:val="auto"/>
          <w:sz w:val="32"/>
          <w:szCs w:val="32"/>
          <w:lang w:val="en-US" w:eastAsia="zh-CN"/>
        </w:rPr>
        <w:t>。由其</w:t>
      </w:r>
      <w:r>
        <w:rPr>
          <w:rFonts w:hint="eastAsia" w:ascii="Times New Roman" w:hAnsi="Times New Roman" w:eastAsia="仿宋_GB2312" w:cs="Times New Roman"/>
          <w:color w:val="auto"/>
          <w:sz w:val="32"/>
          <w:szCs w:val="32"/>
          <w:lang w:val="en-US" w:eastAsia="zh-CN"/>
        </w:rPr>
        <w:t>个人</w:t>
      </w:r>
      <w:r>
        <w:rPr>
          <w:rFonts w:hint="default" w:ascii="Times New Roman" w:hAnsi="Times New Roman" w:eastAsia="仿宋_GB2312" w:cs="Times New Roman"/>
          <w:color w:val="auto"/>
          <w:sz w:val="32"/>
          <w:szCs w:val="32"/>
          <w:lang w:val="en-US" w:eastAsia="zh-CN"/>
        </w:rPr>
        <w:t>所撰写的信息文稿、调研报告、理论文章等</w:t>
      </w:r>
      <w:r>
        <w:rPr>
          <w:rFonts w:hint="default" w:ascii="Times New Roman" w:hAnsi="Times New Roman" w:eastAsia="仿宋_GB2312" w:cs="Times New Roman"/>
          <w:color w:val="auto"/>
          <w:sz w:val="32"/>
          <w:szCs w:val="32"/>
          <w:lang w:eastAsia="zh-CN"/>
        </w:rPr>
        <w:t>在国家级刊物</w:t>
      </w:r>
      <w:r>
        <w:rPr>
          <w:rFonts w:hint="eastAsia" w:ascii="Times New Roman" w:hAnsi="Times New Roman" w:eastAsia="仿宋_GB2312" w:cs="Times New Roman"/>
          <w:color w:val="auto"/>
          <w:sz w:val="32"/>
          <w:szCs w:val="32"/>
          <w:lang w:eastAsia="zh-CN"/>
        </w:rPr>
        <w:t>上</w:t>
      </w:r>
      <w:r>
        <w:rPr>
          <w:rFonts w:hint="default" w:ascii="Times New Roman" w:hAnsi="Times New Roman" w:eastAsia="仿宋_GB2312" w:cs="Times New Roman"/>
          <w:color w:val="auto"/>
          <w:sz w:val="32"/>
          <w:szCs w:val="32"/>
          <w:lang w:eastAsia="zh-CN"/>
        </w:rPr>
        <w:t>发表的，计</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eastAsia="zh-CN"/>
        </w:rPr>
        <w:t>分；在省级刊物上发表的，计</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eastAsia="zh-CN"/>
        </w:rPr>
        <w:t>分；在市级刊物上发表的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计</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分</w:t>
      </w:r>
      <w:r>
        <w:rPr>
          <w:rFonts w:hint="eastAsia" w:ascii="Times New Roman" w:hAnsi="Times New Roman" w:eastAsia="仿宋_GB2312" w:cs="Times New Roman"/>
          <w:color w:val="auto"/>
          <w:sz w:val="32"/>
          <w:szCs w:val="32"/>
          <w:lang w:val="en-US" w:eastAsia="zh-CN"/>
        </w:rPr>
        <w:t>；在县级主要刊物发表的，计2分</w:t>
      </w:r>
      <w:r>
        <w:rPr>
          <w:rFonts w:hint="default" w:ascii="Times New Roman" w:hAnsi="Times New Roman" w:eastAsia="仿宋_GB2312" w:cs="Times New Roman"/>
          <w:color w:val="auto"/>
          <w:sz w:val="32"/>
          <w:szCs w:val="32"/>
          <w:lang w:val="en-US" w:eastAsia="zh-CN"/>
        </w:rPr>
        <w:t>。以发表刊物的级别确定评分等次，</w:t>
      </w:r>
      <w:r>
        <w:rPr>
          <w:rFonts w:hint="default" w:ascii="Times New Roman" w:hAnsi="Times New Roman" w:eastAsia="仿宋_GB2312" w:cs="Times New Roman"/>
          <w:color w:val="auto"/>
          <w:sz w:val="32"/>
          <w:szCs w:val="32"/>
          <w:lang w:eastAsia="zh-CN"/>
        </w:rPr>
        <w:t>考察对象同一篇</w:t>
      </w:r>
      <w:r>
        <w:rPr>
          <w:rFonts w:hint="eastAsia" w:ascii="Times New Roman" w:hAnsi="Times New Roman" w:eastAsia="仿宋_GB2312" w:cs="Times New Roman"/>
          <w:color w:val="auto"/>
          <w:sz w:val="32"/>
          <w:szCs w:val="32"/>
          <w:lang w:eastAsia="zh-CN"/>
        </w:rPr>
        <w:t>文章</w:t>
      </w:r>
      <w:r>
        <w:rPr>
          <w:rFonts w:hint="default" w:ascii="Times New Roman" w:hAnsi="Times New Roman" w:eastAsia="仿宋_GB2312" w:cs="Times New Roman"/>
          <w:color w:val="auto"/>
          <w:sz w:val="32"/>
          <w:szCs w:val="32"/>
          <w:lang w:eastAsia="zh-CN"/>
        </w:rPr>
        <w:t>在不同级别刊物上发表的以最高层次一次性计分，不重复累积</w:t>
      </w:r>
      <w:r>
        <w:rPr>
          <w:rFonts w:hint="eastAsia" w:ascii="Times New Roman" w:hAnsi="Times New Roman" w:eastAsia="仿宋_GB2312" w:cs="Times New Roman"/>
          <w:color w:val="auto"/>
          <w:sz w:val="32"/>
          <w:szCs w:val="32"/>
          <w:lang w:eastAsia="zh-CN"/>
        </w:rPr>
        <w:t>计</w:t>
      </w:r>
      <w:r>
        <w:rPr>
          <w:rFonts w:hint="default" w:ascii="Times New Roman" w:hAnsi="Times New Roman" w:eastAsia="仿宋_GB2312" w:cs="Times New Roman"/>
          <w:color w:val="auto"/>
          <w:sz w:val="32"/>
          <w:szCs w:val="32"/>
          <w:lang w:eastAsia="zh-CN"/>
        </w:rPr>
        <w:t>分。此项最高不超过</w:t>
      </w:r>
      <w:r>
        <w:rPr>
          <w:rFonts w:hint="default" w:ascii="Times New Roman" w:hAnsi="Times New Roman" w:eastAsia="仿宋_GB2312" w:cs="Times New Roman"/>
          <w:color w:val="auto"/>
          <w:sz w:val="32"/>
          <w:szCs w:val="32"/>
          <w:lang w:val="en-US" w:eastAsia="zh-CN"/>
        </w:rPr>
        <w:t>20分。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auto"/>
          <w:sz w:val="32"/>
          <w:szCs w:val="32"/>
          <w:lang w:val="en-US" w:eastAsia="zh-CN"/>
        </w:rPr>
        <w:t>4</w:t>
      </w:r>
      <w:r>
        <w:rPr>
          <w:rFonts w:hint="default" w:ascii="Times New Roman" w:hAnsi="Times New Roman" w:eastAsia="楷体_GB2312" w:cs="Times New Roman"/>
          <w:color w:val="auto"/>
          <w:sz w:val="32"/>
          <w:szCs w:val="32"/>
        </w:rPr>
        <w:t>.年度考核（</w:t>
      </w:r>
      <w:r>
        <w:rPr>
          <w:rFonts w:hint="default" w:ascii="Times New Roman" w:hAnsi="Times New Roman" w:eastAsia="楷体_GB2312" w:cs="Times New Roman"/>
          <w:color w:val="auto"/>
          <w:sz w:val="32"/>
          <w:szCs w:val="32"/>
          <w:lang w:val="en-US" w:eastAsia="zh-CN"/>
        </w:rPr>
        <w:t>20</w:t>
      </w:r>
      <w:r>
        <w:rPr>
          <w:rFonts w:hint="default" w:ascii="Times New Roman" w:hAnsi="Times New Roman" w:eastAsia="楷体_GB2312" w:cs="Times New Roman"/>
          <w:color w:val="auto"/>
          <w:sz w:val="32"/>
          <w:szCs w:val="32"/>
        </w:rPr>
        <w:t>分）。</w:t>
      </w:r>
      <w:r>
        <w:rPr>
          <w:rFonts w:hint="default" w:ascii="Times New Roman" w:hAnsi="Times New Roman" w:eastAsia="仿宋_GB2312" w:cs="Times New Roman"/>
          <w:color w:val="auto"/>
          <w:sz w:val="32"/>
          <w:szCs w:val="32"/>
        </w:rPr>
        <w:t>近五年年度考核合格以上的</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分，</w:t>
      </w:r>
      <w:r>
        <w:rPr>
          <w:rFonts w:hint="default" w:ascii="Times New Roman" w:hAnsi="Times New Roman" w:eastAsia="仿宋_GB2312" w:cs="Times New Roman"/>
          <w:sz w:val="32"/>
          <w:szCs w:val="32"/>
        </w:rPr>
        <w:t>有一次年度考核为先进的加2分，三次以上先进的该项得</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分。有一次评定基本合格及以下的，该项不得分。试用期内不定等次的考核情况按合格等次计分。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rPr>
        <w:t>.考勤情况（</w:t>
      </w:r>
      <w:r>
        <w:rPr>
          <w:rFonts w:hint="default" w:ascii="Times New Roman" w:hAnsi="Times New Roman" w:eastAsia="楷体_GB2312" w:cs="Times New Roman"/>
          <w:sz w:val="32"/>
          <w:szCs w:val="32"/>
          <w:lang w:val="en-US" w:eastAsia="zh-CN"/>
        </w:rPr>
        <w:t>10</w:t>
      </w:r>
      <w:r>
        <w:rPr>
          <w:rFonts w:hint="default" w:ascii="Times New Roman" w:hAnsi="Times New Roman" w:eastAsia="楷体_GB2312" w:cs="Times New Roman"/>
          <w:sz w:val="32"/>
          <w:szCs w:val="32"/>
        </w:rPr>
        <w:t>分）</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近三年病、事假累计不超过9天、12天、15天、18天分别计</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分。考勤情况以考察对象所在单位人事部门认定为准。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（二）减分项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1.近五年受警告、记过、记大过、降级、撤职等政纪处分的，分别减5、10、15、20、25分。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2.近五年受党内警告、严重警告、撤销党内职务、留党察看等党纪处分的分别减5、10、15、20分。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近五年受到诫勉谈话、通报批评、效能告诫的分别减5、8、10分。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近三年每无故旷工一次减3分，迟到或早退一次减0.5分。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因同一事由受两项以上处分的，按最高一项处分减分。减分累计计算。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以上表彰奖励、考勤情况、受党纪政纪处分、效能告诫、旷工、迟到、早退等有关计分或减分条件，均以选调公告发布之日为截止时间。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74E67"/>
    <w:rsid w:val="55474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2021-12-07T09:22:00Z</dcterms:created>
  <dc:creator>WPS_1174648853</dc:creator>
  <cp:lastModifiedBy>WPS_1174648853</cp:lastModifiedBy>
  <dcterms:modified xsi:type="dcterms:W3CDTF">2021-12-07T09:23:21Z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